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20B2D">
      <w:pPr>
        <w:ind w:left="426" w:right="-17"/>
        <w:jc w:val="center"/>
        <w:rPr>
          <w:rFonts w:ascii="Arial" w:hAnsi="Arial" w:cs="Arial"/>
          <w:b/>
        </w:rPr>
      </w:pPr>
      <w:bookmarkStart w:id="0" w:name="_Hlk142658039"/>
      <w:r>
        <w:rPr>
          <w:rFonts w:ascii="Arial" w:hAnsi="Arial" w:cs="Arial"/>
          <w:b/>
        </w:rPr>
        <w:t>ANEXO VII</w:t>
      </w:r>
    </w:p>
    <w:p w14:paraId="03EBBFD7">
      <w:pPr>
        <w:ind w:left="426" w:right="-17"/>
        <w:jc w:val="center"/>
        <w:rPr>
          <w:rFonts w:ascii="Arial" w:hAnsi="Arial" w:cs="Arial"/>
          <w:b/>
        </w:rPr>
      </w:pPr>
    </w:p>
    <w:p w14:paraId="5E38F456">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14:paraId="649A637B">
      <w:pPr>
        <w:ind w:left="426" w:right="-17"/>
        <w:jc w:val="center"/>
        <w:rPr>
          <w:rFonts w:ascii="Arial" w:hAnsi="Arial" w:cs="Arial"/>
          <w:b/>
        </w:rPr>
      </w:pPr>
    </w:p>
    <w:p w14:paraId="0C29CC56">
      <w:pPr>
        <w:ind w:left="4253" w:right="-17"/>
        <w:jc w:val="both"/>
        <w:rPr>
          <w:rFonts w:ascii="Arial" w:hAnsi="Arial" w:cs="Arial"/>
          <w:b/>
        </w:rPr>
      </w:pPr>
    </w:p>
    <w:p w14:paraId="5800B1C1">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1EE7A32F">
      <w:pPr>
        <w:spacing w:line="276" w:lineRule="auto"/>
        <w:ind w:left="5103" w:right="-17"/>
        <w:jc w:val="both"/>
        <w:rPr>
          <w:rFonts w:ascii="Arial" w:hAnsi="Arial" w:cs="Arial"/>
          <w:b/>
        </w:rPr>
      </w:pPr>
    </w:p>
    <w:bookmarkEnd w:id="1"/>
    <w:p w14:paraId="59B89D7A">
      <w:pPr>
        <w:pStyle w:val="14"/>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44.537/2025</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90.019/2026</w:t>
      </w:r>
      <w:r>
        <w:rPr>
          <w:rFonts w:ascii="Arial" w:hAnsi="Arial" w:cs="Arial"/>
          <w:sz w:val="22"/>
          <w:szCs w:val="22"/>
          <w:highlight w:val="none"/>
        </w:rPr>
        <w:t>,</w:t>
      </w:r>
      <w:r>
        <w:rPr>
          <w:rFonts w:ascii="Arial" w:hAnsi="Arial" w:cs="Arial"/>
          <w:sz w:val="22"/>
          <w:szCs w:val="22"/>
        </w:rPr>
        <w:t xml:space="preserve"> mediante as cláusulas e condições a seguir enunciadas.</w:t>
      </w:r>
    </w:p>
    <w:p w14:paraId="3E976282">
      <w:pPr>
        <w:pStyle w:val="20"/>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51567E92">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r>
        <w:rPr>
          <w:rFonts w:ascii="Arial" w:hAnsi="Arial" w:cs="Arial"/>
          <w:b/>
          <w:bCs w:val="0"/>
          <w:iCs/>
        </w:rPr>
        <w:t>CONTRATAÇÃO DE EMPRESA ESPECIALIZADA PARA O FORNECIMENTO DE GÊNEROS ALIMENTÍCIOS, EM ATENDIMENTO ÀS DEMANDAS CONTÍNUAS DOS SERVIÇOS SOCIOASSISTENCIAIS DESENVOLVIDOS NO CENTRO DE REFERÊNCIA ESPECIALIZADO PARA POPULAÇÃO EM SITUAÇÃO DE RUA (CENTRO POP) E NA CASA DE ACOLHIMENTO INSTITUCIONAL VILA SORRISO (CAIVS), AMBOS VINCULADOS À REDE DE PROTEÇÃO SOCIAL DO SISTEMA ÚNICO DE ASSISTÊNCIA SOCIAL (SUAS) E REGULAMENTADOS PELA LEI ORGÂNICA DA ASSISTÊNCIA SOCIAL (LOAS).</w:t>
      </w:r>
      <w:r>
        <w:rPr>
          <w:rFonts w:hint="default" w:ascii="Arial" w:hAnsi="Arial" w:cs="Arial"/>
          <w:b/>
          <w:bCs w:val="0"/>
          <w:iCs/>
          <w:lang w:val="pt-BR"/>
        </w:rPr>
        <w:t xml:space="preserve"> </w:t>
      </w:r>
      <w:r>
        <w:rPr>
          <w:rFonts w:ascii="Arial" w:hAnsi="Arial" w:cs="Arial"/>
          <w:b/>
          <w:bCs w:val="0"/>
          <w:iCs/>
        </w:rPr>
        <w:t>A PRESENTE CONTRATAÇÃO TEM POR OBJETIVO GARANTIR CONDIÇÕES ADEQUADAS DE ALIMENTAÇÃO, NUTRIÇÃO, CUIDADO E ACOLHIMENTO NOS REFERIDOS EQUIPAMENTOS PÚBLICOS, QUE PRESTAM ATENDIMENTO DIRETO A INDIVÍDUOS E FAMÍLIAS EM SITUAÇÃO DE VULNERABILIDADE E RISCO SOCIAL,</w:t>
      </w:r>
      <w:r>
        <w:rPr>
          <w:rFonts w:ascii="Arial" w:hAnsi="Arial" w:cs="Arial"/>
          <w:bCs/>
          <w:iCs/>
        </w:rPr>
        <w:t xml:space="preserve"> nas condições estabelecidas no Termo de Referência – Anexo I do edital.</w:t>
      </w:r>
      <w:bookmarkStart w:id="4" w:name="_GoBack"/>
      <w:bookmarkEnd w:id="4"/>
    </w:p>
    <w:p w14:paraId="1D217F43">
      <w:pPr>
        <w:pStyle w:val="20"/>
        <w:widowControl/>
        <w:numPr>
          <w:ilvl w:val="0"/>
          <w:numId w:val="0"/>
        </w:numPr>
        <w:tabs>
          <w:tab w:val="left" w:pos="426"/>
        </w:tabs>
        <w:autoSpaceDE/>
        <w:autoSpaceDN/>
        <w:spacing w:before="120" w:after="120" w:line="276" w:lineRule="auto"/>
        <w:ind w:leftChars="0"/>
        <w:jc w:val="both"/>
        <w:rPr>
          <w:rFonts w:ascii="Arial" w:hAnsi="Arial" w:cs="Arial"/>
          <w:bCs/>
          <w:iCs/>
        </w:rPr>
      </w:pPr>
    </w:p>
    <w:p w14:paraId="3D59C46B">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4AFDE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1DAABED2">
            <w:pPr>
              <w:pStyle w:val="20"/>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6BF65E8B">
            <w:pPr>
              <w:pStyle w:val="20"/>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14:paraId="06AAC6F3">
            <w:pPr>
              <w:pStyle w:val="20"/>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0D0D933A">
            <w:pPr>
              <w:pStyle w:val="20"/>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73CE3A7A">
            <w:pPr>
              <w:pStyle w:val="20"/>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7603B945">
            <w:pPr>
              <w:pStyle w:val="20"/>
              <w:ind w:left="0"/>
              <w:jc w:val="center"/>
              <w:rPr>
                <w:rFonts w:ascii="Arial" w:hAnsi="Arial" w:cs="Arial"/>
                <w:b/>
              </w:rPr>
            </w:pPr>
            <w:r>
              <w:rPr>
                <w:rFonts w:ascii="Arial" w:hAnsi="Arial" w:cs="Arial"/>
                <w:b/>
              </w:rPr>
              <w:t>VALOR</w:t>
            </w:r>
          </w:p>
        </w:tc>
      </w:tr>
      <w:tr w14:paraId="47D17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784F90EE">
            <w:pPr>
              <w:rPr>
                <w:rFonts w:ascii="Arial" w:hAnsi="Arial" w:cs="Arial"/>
              </w:rPr>
            </w:pPr>
          </w:p>
        </w:tc>
        <w:tc>
          <w:tcPr>
            <w:tcW w:w="606" w:type="pct"/>
            <w:vMerge w:val="continue"/>
            <w:shd w:val="clear" w:color="auto" w:fill="D8D8D8"/>
          </w:tcPr>
          <w:p w14:paraId="62C0FB24">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03422239">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2444E0D0">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4AF5E2EA">
            <w:pPr>
              <w:rPr>
                <w:rFonts w:ascii="Arial" w:hAnsi="Arial" w:cs="Arial"/>
              </w:rPr>
            </w:pPr>
          </w:p>
        </w:tc>
        <w:tc>
          <w:tcPr>
            <w:tcW w:w="839" w:type="pct"/>
            <w:shd w:val="clear" w:color="auto" w:fill="D8D8D8"/>
            <w:tcMar>
              <w:top w:w="0" w:type="dxa"/>
              <w:left w:w="108" w:type="dxa"/>
              <w:bottom w:w="0" w:type="dxa"/>
              <w:right w:w="108" w:type="dxa"/>
            </w:tcMar>
            <w:vAlign w:val="center"/>
          </w:tcPr>
          <w:p w14:paraId="3B64AC39">
            <w:pPr>
              <w:pStyle w:val="20"/>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2031D3D5">
            <w:pPr>
              <w:pStyle w:val="20"/>
              <w:ind w:left="0"/>
              <w:jc w:val="center"/>
              <w:rPr>
                <w:rFonts w:ascii="Arial" w:hAnsi="Arial" w:cs="Arial"/>
                <w:b/>
              </w:rPr>
            </w:pPr>
            <w:r>
              <w:rPr>
                <w:rFonts w:ascii="Arial" w:hAnsi="Arial" w:cs="Arial"/>
                <w:b/>
              </w:rPr>
              <w:t>TOTAL</w:t>
            </w:r>
          </w:p>
        </w:tc>
      </w:tr>
      <w:tr w14:paraId="05C1F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719710A9">
            <w:pPr>
              <w:pStyle w:val="39"/>
              <w:jc w:val="center"/>
              <w:rPr>
                <w:rFonts w:ascii="Arial" w:hAnsi="Arial" w:cs="Arial"/>
                <w:b/>
              </w:rPr>
            </w:pPr>
            <w:r>
              <w:rPr>
                <w:rFonts w:ascii="Arial" w:hAnsi="Arial" w:cs="Arial"/>
                <w:b/>
              </w:rPr>
              <w:t>1</w:t>
            </w:r>
          </w:p>
        </w:tc>
        <w:tc>
          <w:tcPr>
            <w:tcW w:w="606" w:type="pct"/>
          </w:tcPr>
          <w:p w14:paraId="2FEAB648">
            <w:pPr>
              <w:pStyle w:val="39"/>
              <w:jc w:val="both"/>
              <w:rPr>
                <w:rFonts w:ascii="Arial" w:hAnsi="Arial" w:cs="Arial"/>
              </w:rPr>
            </w:pPr>
          </w:p>
        </w:tc>
        <w:tc>
          <w:tcPr>
            <w:tcW w:w="1328" w:type="pct"/>
            <w:tcMar>
              <w:top w:w="0" w:type="dxa"/>
              <w:left w:w="108" w:type="dxa"/>
              <w:bottom w:w="0" w:type="dxa"/>
              <w:right w:w="108" w:type="dxa"/>
            </w:tcMar>
            <w:vAlign w:val="center"/>
          </w:tcPr>
          <w:p w14:paraId="3C43175D">
            <w:pPr>
              <w:pStyle w:val="39"/>
              <w:jc w:val="both"/>
              <w:rPr>
                <w:rFonts w:ascii="Arial" w:hAnsi="Arial" w:cs="Arial"/>
              </w:rPr>
            </w:pPr>
          </w:p>
        </w:tc>
        <w:tc>
          <w:tcPr>
            <w:tcW w:w="534" w:type="pct"/>
            <w:tcMar>
              <w:top w:w="0" w:type="dxa"/>
              <w:left w:w="108" w:type="dxa"/>
              <w:bottom w:w="0" w:type="dxa"/>
              <w:right w:w="108" w:type="dxa"/>
            </w:tcMar>
            <w:vAlign w:val="center"/>
          </w:tcPr>
          <w:p w14:paraId="5002AB3E">
            <w:pPr>
              <w:pStyle w:val="39"/>
              <w:jc w:val="center"/>
              <w:rPr>
                <w:rFonts w:ascii="Arial" w:hAnsi="Arial" w:cs="Arial"/>
              </w:rPr>
            </w:pPr>
          </w:p>
        </w:tc>
        <w:tc>
          <w:tcPr>
            <w:tcW w:w="583" w:type="pct"/>
            <w:tcMar>
              <w:top w:w="0" w:type="dxa"/>
              <w:left w:w="108" w:type="dxa"/>
              <w:bottom w:w="0" w:type="dxa"/>
              <w:right w:w="108" w:type="dxa"/>
            </w:tcMar>
            <w:vAlign w:val="center"/>
          </w:tcPr>
          <w:p w14:paraId="3643062F">
            <w:pPr>
              <w:pStyle w:val="39"/>
              <w:jc w:val="center"/>
              <w:rPr>
                <w:rFonts w:ascii="Arial" w:hAnsi="Arial" w:cs="Arial"/>
                <w:b/>
              </w:rPr>
            </w:pPr>
          </w:p>
        </w:tc>
        <w:tc>
          <w:tcPr>
            <w:tcW w:w="839" w:type="pct"/>
            <w:tcMar>
              <w:top w:w="0" w:type="dxa"/>
              <w:left w:w="108" w:type="dxa"/>
              <w:bottom w:w="0" w:type="dxa"/>
              <w:right w:w="108" w:type="dxa"/>
            </w:tcMar>
            <w:vAlign w:val="center"/>
          </w:tcPr>
          <w:p w14:paraId="5C2743A3">
            <w:pPr>
              <w:pStyle w:val="39"/>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740E65AE">
            <w:pPr>
              <w:pStyle w:val="39"/>
              <w:spacing w:after="0" w:line="240" w:lineRule="auto"/>
              <w:jc w:val="right"/>
              <w:rPr>
                <w:rFonts w:ascii="Arial" w:hAnsi="Arial" w:cs="Arial"/>
                <w:b/>
                <w:bCs/>
              </w:rPr>
            </w:pPr>
          </w:p>
        </w:tc>
      </w:tr>
      <w:tr w14:paraId="28298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22D1EB03">
            <w:pPr>
              <w:pStyle w:val="39"/>
              <w:jc w:val="center"/>
              <w:rPr>
                <w:rFonts w:ascii="Arial" w:hAnsi="Arial" w:cs="Arial"/>
                <w:b/>
              </w:rPr>
            </w:pPr>
            <w:r>
              <w:rPr>
                <w:rFonts w:ascii="Arial" w:hAnsi="Arial" w:cs="Arial"/>
                <w:b/>
              </w:rPr>
              <w:t>…</w:t>
            </w:r>
          </w:p>
        </w:tc>
        <w:tc>
          <w:tcPr>
            <w:tcW w:w="606" w:type="pct"/>
          </w:tcPr>
          <w:p w14:paraId="560A641D">
            <w:pPr>
              <w:pStyle w:val="39"/>
              <w:jc w:val="both"/>
              <w:rPr>
                <w:rFonts w:ascii="Arial" w:hAnsi="Arial" w:cs="Arial"/>
              </w:rPr>
            </w:pPr>
          </w:p>
        </w:tc>
        <w:tc>
          <w:tcPr>
            <w:tcW w:w="1328" w:type="pct"/>
            <w:tcMar>
              <w:top w:w="0" w:type="dxa"/>
              <w:left w:w="108" w:type="dxa"/>
              <w:bottom w:w="0" w:type="dxa"/>
              <w:right w:w="108" w:type="dxa"/>
            </w:tcMar>
            <w:vAlign w:val="center"/>
          </w:tcPr>
          <w:p w14:paraId="6DF87DFC">
            <w:pPr>
              <w:pStyle w:val="39"/>
              <w:jc w:val="both"/>
              <w:rPr>
                <w:rFonts w:ascii="Arial" w:hAnsi="Arial" w:cs="Arial"/>
              </w:rPr>
            </w:pPr>
          </w:p>
        </w:tc>
        <w:tc>
          <w:tcPr>
            <w:tcW w:w="534" w:type="pct"/>
            <w:tcMar>
              <w:top w:w="0" w:type="dxa"/>
              <w:left w:w="108" w:type="dxa"/>
              <w:bottom w:w="0" w:type="dxa"/>
              <w:right w:w="108" w:type="dxa"/>
            </w:tcMar>
            <w:vAlign w:val="center"/>
          </w:tcPr>
          <w:p w14:paraId="72AF2BA4">
            <w:pPr>
              <w:pStyle w:val="39"/>
              <w:jc w:val="center"/>
              <w:rPr>
                <w:rFonts w:ascii="Arial" w:hAnsi="Arial" w:cs="Arial"/>
              </w:rPr>
            </w:pPr>
          </w:p>
        </w:tc>
        <w:tc>
          <w:tcPr>
            <w:tcW w:w="583" w:type="pct"/>
            <w:tcMar>
              <w:top w:w="0" w:type="dxa"/>
              <w:left w:w="108" w:type="dxa"/>
              <w:bottom w:w="0" w:type="dxa"/>
              <w:right w:w="108" w:type="dxa"/>
            </w:tcMar>
            <w:vAlign w:val="center"/>
          </w:tcPr>
          <w:p w14:paraId="4333C1C5">
            <w:pPr>
              <w:pStyle w:val="39"/>
              <w:jc w:val="center"/>
              <w:rPr>
                <w:rFonts w:ascii="Arial" w:hAnsi="Arial" w:cs="Arial"/>
                <w:b/>
              </w:rPr>
            </w:pPr>
          </w:p>
        </w:tc>
        <w:tc>
          <w:tcPr>
            <w:tcW w:w="839" w:type="pct"/>
            <w:tcMar>
              <w:top w:w="0" w:type="dxa"/>
              <w:left w:w="108" w:type="dxa"/>
              <w:bottom w:w="0" w:type="dxa"/>
              <w:right w:w="108" w:type="dxa"/>
            </w:tcMar>
            <w:vAlign w:val="center"/>
          </w:tcPr>
          <w:p w14:paraId="00F6DEB2">
            <w:pPr>
              <w:pStyle w:val="39"/>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2DE2F026">
            <w:pPr>
              <w:pStyle w:val="39"/>
              <w:spacing w:after="0" w:line="240" w:lineRule="auto"/>
              <w:jc w:val="right"/>
              <w:rPr>
                <w:rFonts w:ascii="Arial" w:hAnsi="Arial" w:cs="Arial"/>
                <w:b/>
                <w:bCs/>
              </w:rPr>
            </w:pPr>
          </w:p>
        </w:tc>
      </w:tr>
    </w:tbl>
    <w:p w14:paraId="6A520EE1">
      <w:pPr>
        <w:pStyle w:val="20"/>
        <w:widowControl/>
        <w:tabs>
          <w:tab w:val="left" w:pos="426"/>
        </w:tabs>
        <w:autoSpaceDE/>
        <w:autoSpaceDN/>
        <w:spacing w:before="120" w:after="120" w:line="276" w:lineRule="auto"/>
        <w:ind w:left="0"/>
        <w:jc w:val="both"/>
        <w:rPr>
          <w:rFonts w:ascii="Arial" w:hAnsi="Arial" w:cs="Arial"/>
          <w:iCs/>
        </w:rPr>
      </w:pPr>
    </w:p>
    <w:p w14:paraId="0231E031">
      <w:pPr>
        <w:pStyle w:val="20"/>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668582A3">
      <w:pPr>
        <w:pStyle w:val="20"/>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5A3EFED8">
      <w:pPr>
        <w:pStyle w:val="20"/>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5FA9602F">
      <w:pPr>
        <w:pStyle w:val="20"/>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2151B946">
      <w:pPr>
        <w:pStyle w:val="20"/>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07499FF2">
      <w:pPr>
        <w:pStyle w:val="20"/>
        <w:widowControl/>
        <w:tabs>
          <w:tab w:val="left" w:pos="426"/>
        </w:tabs>
        <w:autoSpaceDE/>
        <w:autoSpaceDN/>
        <w:spacing w:before="120" w:after="120" w:line="276" w:lineRule="auto"/>
        <w:ind w:left="862"/>
        <w:jc w:val="both"/>
        <w:rPr>
          <w:rFonts w:ascii="Arial" w:hAnsi="Arial" w:cs="Arial"/>
          <w:bCs/>
        </w:rPr>
      </w:pPr>
    </w:p>
    <w:p w14:paraId="0FC9DA69">
      <w:pPr>
        <w:pStyle w:val="20"/>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1BF2FF24">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 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A prorrogação de que trata este item é condicionada ao ateste, pela autoridade competente, de que as condições e os preços permanecem vantajosos para a Administração, permitida a negociação com o contratado.</w:t>
      </w:r>
    </w:p>
    <w:p w14:paraId="14947F95">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não tem direito subjetivo à prorrogação contratual.</w:t>
      </w:r>
    </w:p>
    <w:p w14:paraId="22B727B7">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14:paraId="46523271">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14:paraId="5642432C">
      <w:pPr>
        <w:pStyle w:val="20"/>
        <w:widowControl/>
        <w:tabs>
          <w:tab w:val="left" w:pos="426"/>
        </w:tabs>
        <w:autoSpaceDE/>
        <w:autoSpaceDN/>
        <w:spacing w:before="120" w:after="120" w:line="276" w:lineRule="auto"/>
        <w:ind w:left="0"/>
        <w:jc w:val="both"/>
        <w:rPr>
          <w:rFonts w:ascii="Arial" w:hAnsi="Arial" w:cs="Arial"/>
          <w:bCs/>
          <w:iCs/>
          <w:color w:val="FF0000"/>
        </w:rPr>
      </w:pPr>
    </w:p>
    <w:p w14:paraId="394A8F17">
      <w:pPr>
        <w:pStyle w:val="20"/>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0471C449">
      <w:pPr>
        <w:pStyle w:val="62"/>
        <w:keepNext/>
        <w:spacing w:line="276" w:lineRule="auto"/>
        <w:ind w:left="7" w:leftChars="0" w:hanging="7" w:firstLineChars="0"/>
        <w:jc w:val="both"/>
        <w:rPr>
          <w:rFonts w:hint="default" w:ascii="Arial" w:hAnsi="Arial" w:eastAsia="Verdana" w:cs="Arial"/>
          <w:bCs/>
          <w:iCs/>
          <w:color w:val="auto"/>
          <w:sz w:val="22"/>
          <w:szCs w:val="22"/>
          <w:u w:val="single"/>
          <w:lang w:val="pt-BR" w:eastAsia="en-US" w:bidi="ar-SA"/>
        </w:rPr>
      </w:pPr>
      <w:r>
        <w:rPr>
          <w:rFonts w:hint="default" w:ascii="Arial" w:hAnsi="Arial" w:eastAsia="Verdana" w:cs="Arial"/>
          <w:bCs/>
          <w:iCs/>
          <w:color w:val="auto"/>
          <w:sz w:val="22"/>
          <w:szCs w:val="22"/>
          <w:u w:val="single"/>
          <w:lang w:val="pt-BR" w:eastAsia="en-US" w:bidi="ar-SA"/>
        </w:rPr>
        <w:t xml:space="preserve">3.1 </w:t>
      </w:r>
      <w:r>
        <w:rPr>
          <w:rFonts w:ascii="Arial" w:hAnsi="Arial" w:eastAsia="Verdana" w:cs="Arial"/>
          <w:bCs/>
          <w:iCs/>
          <w:color w:val="auto"/>
          <w:sz w:val="22"/>
          <w:szCs w:val="22"/>
          <w:u w:val="single"/>
          <w:lang w:val="pt-PT" w:eastAsia="en-US" w:bidi="ar-SA"/>
        </w:rPr>
        <w:t>MODELO DE EXECUÇÃO DO OBJETO (art. 6º, XXIII, alínea “e” e 40, §1º, inciso II, da Lei nº 14.133/2021)</w:t>
      </w:r>
      <w:r>
        <w:rPr>
          <w:rFonts w:hint="default" w:ascii="Arial" w:hAnsi="Arial" w:eastAsia="Verdana" w:cs="Arial"/>
          <w:bCs/>
          <w:iCs/>
          <w:color w:val="auto"/>
          <w:sz w:val="22"/>
          <w:szCs w:val="22"/>
          <w:u w:val="single"/>
          <w:lang w:val="pt-BR" w:eastAsia="en-US" w:bidi="ar-SA"/>
        </w:rPr>
        <w:t>:</w:t>
      </w:r>
    </w:p>
    <w:p w14:paraId="39BE62BC">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3</w:t>
      </w:r>
      <w:r>
        <w:rPr>
          <w:rFonts w:ascii="Arial" w:hAnsi="Arial" w:eastAsia="Verdana" w:cs="Arial"/>
          <w:bCs/>
          <w:iCs/>
          <w:color w:val="auto"/>
          <w:sz w:val="22"/>
          <w:szCs w:val="22"/>
          <w:lang w:val="pt-PT" w:eastAsia="en-US" w:bidi="ar-SA"/>
        </w:rPr>
        <w:t>.1.</w:t>
      </w:r>
      <w:r>
        <w:rPr>
          <w:rFonts w:hint="default" w:ascii="Arial" w:hAnsi="Arial" w:cs="Arial"/>
          <w:bCs/>
          <w:iCs/>
          <w:color w:val="auto"/>
          <w:sz w:val="22"/>
          <w:szCs w:val="22"/>
          <w:lang w:val="pt-BR" w:eastAsia="en-US" w:bidi="ar-SA"/>
        </w:rPr>
        <w:t>1</w:t>
      </w:r>
      <w:r>
        <w:rPr>
          <w:rFonts w:ascii="Arial" w:hAnsi="Arial" w:eastAsia="Verdana" w:cs="Arial"/>
          <w:bCs/>
          <w:iCs/>
          <w:color w:val="auto"/>
          <w:sz w:val="22"/>
          <w:szCs w:val="22"/>
          <w:lang w:val="pt-PT" w:eastAsia="en-US" w:bidi="ar-SA"/>
        </w:rPr>
        <w:t xml:space="preserve"> O fornecimento dos gêneros alimentícios será realizado de forma parcelada, de acordo com as necessidades e conveniências da CONTRATANTE, observando-se as quantidades adquiridas e respeitando os limites estabelecidos na Ata de Registro de Preços.</w:t>
      </w:r>
    </w:p>
    <w:p w14:paraId="2E0BCBD5">
      <w:pPr>
        <w:pStyle w:val="11"/>
        <w:jc w:val="both"/>
        <w:rPr>
          <w:rFonts w:hint="default" w:ascii="Arial" w:hAnsi="Arial" w:cs="Arial"/>
          <w:bCs/>
          <w:iCs/>
          <w:color w:val="auto"/>
          <w:sz w:val="22"/>
          <w:szCs w:val="22"/>
          <w:lang w:val="pt-BR" w:eastAsia="en-US" w:bidi="ar-SA"/>
        </w:rPr>
      </w:pPr>
    </w:p>
    <w:p w14:paraId="7917795D">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3</w:t>
      </w:r>
      <w:r>
        <w:rPr>
          <w:rFonts w:ascii="Arial" w:hAnsi="Arial" w:eastAsia="Verdana" w:cs="Arial"/>
          <w:bCs/>
          <w:iCs/>
          <w:color w:val="auto"/>
          <w:sz w:val="22"/>
          <w:szCs w:val="22"/>
          <w:lang w:val="pt-PT" w:eastAsia="en-US" w:bidi="ar-SA"/>
        </w:rPr>
        <w:t>.</w:t>
      </w:r>
      <w:r>
        <w:rPr>
          <w:rFonts w:hint="default" w:ascii="Arial" w:hAnsi="Arial" w:cs="Arial"/>
          <w:bCs/>
          <w:iCs/>
          <w:color w:val="auto"/>
          <w:sz w:val="22"/>
          <w:szCs w:val="22"/>
          <w:lang w:val="pt-BR" w:eastAsia="en-US" w:bidi="ar-SA"/>
        </w:rPr>
        <w:t>1.2</w:t>
      </w:r>
      <w:r>
        <w:rPr>
          <w:rFonts w:ascii="Arial" w:hAnsi="Arial" w:eastAsia="Verdana" w:cs="Arial"/>
          <w:bCs/>
          <w:iCs/>
          <w:color w:val="auto"/>
          <w:sz w:val="22"/>
          <w:szCs w:val="22"/>
          <w:lang w:val="pt-PT" w:eastAsia="en-US" w:bidi="ar-SA"/>
        </w:rPr>
        <w:t xml:space="preserve"> O prazo para início do fornecimento será imediato, contado a partir do primeiro dia útil subsequente ao recebimento da Nota de Empenho, Autorização de Fornecimento ou documento equivalente, emitido pela Administração.</w:t>
      </w:r>
    </w:p>
    <w:p w14:paraId="0618DBC1">
      <w:pPr>
        <w:pStyle w:val="11"/>
        <w:jc w:val="both"/>
        <w:rPr>
          <w:rFonts w:hint="default" w:ascii="Arial" w:hAnsi="Arial" w:cs="Arial"/>
          <w:bCs/>
          <w:iCs/>
          <w:color w:val="auto"/>
          <w:sz w:val="22"/>
          <w:szCs w:val="22"/>
          <w:lang w:val="pt-BR" w:eastAsia="en-US" w:bidi="ar-SA"/>
        </w:rPr>
      </w:pPr>
    </w:p>
    <w:p w14:paraId="1EC1A094">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3.1.3</w:t>
      </w:r>
      <w:r>
        <w:rPr>
          <w:rFonts w:ascii="Arial" w:hAnsi="Arial" w:eastAsia="Verdana" w:cs="Arial"/>
          <w:bCs/>
          <w:iCs/>
          <w:color w:val="auto"/>
          <w:sz w:val="22"/>
          <w:szCs w:val="22"/>
          <w:lang w:val="pt-PT" w:eastAsia="en-US" w:bidi="ar-SA"/>
        </w:rPr>
        <w:t xml:space="preserve"> Para o fornecimento das quantidades adquiridas, proceder-se-á conforme a demanda real e programada pela CONTRATANTE, que poderá requisitar os itens de forma integral ou fracionada ao longo da vigência contratual, mediante solicitações formais.</w:t>
      </w:r>
    </w:p>
    <w:p w14:paraId="2311772D">
      <w:pPr>
        <w:pStyle w:val="11"/>
        <w:jc w:val="both"/>
        <w:rPr>
          <w:rFonts w:hint="default" w:ascii="Arial" w:hAnsi="Arial" w:cs="Arial"/>
          <w:bCs/>
          <w:iCs/>
          <w:color w:val="auto"/>
          <w:sz w:val="22"/>
          <w:szCs w:val="22"/>
          <w:lang w:val="pt-BR" w:eastAsia="en-US" w:bidi="ar-SA"/>
        </w:rPr>
      </w:pPr>
    </w:p>
    <w:p w14:paraId="432431AE">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3.1.4</w:t>
      </w:r>
      <w:r>
        <w:rPr>
          <w:rFonts w:ascii="Arial" w:hAnsi="Arial" w:eastAsia="Verdana" w:cs="Arial"/>
          <w:bCs/>
          <w:iCs/>
          <w:color w:val="auto"/>
          <w:sz w:val="22"/>
          <w:szCs w:val="22"/>
          <w:lang w:val="pt-PT" w:eastAsia="en-US" w:bidi="ar-SA"/>
        </w:rPr>
        <w:t xml:space="preserve"> Caso não seja possível atender à solicitação de fornecimento no prazo assinalado, a contratada deverá comunicar imediatamente à Administração as razões do impedimento, para que eventual prorrogação seja analisada, ressalvadas as hipóteses de caso fortuito ou força maior.</w:t>
      </w:r>
    </w:p>
    <w:p w14:paraId="12E3C168">
      <w:pPr>
        <w:pStyle w:val="11"/>
        <w:jc w:val="both"/>
        <w:rPr>
          <w:rFonts w:hint="default" w:ascii="Arial" w:hAnsi="Arial" w:cs="Arial"/>
          <w:bCs/>
          <w:iCs/>
          <w:color w:val="auto"/>
          <w:sz w:val="22"/>
          <w:szCs w:val="22"/>
          <w:lang w:val="pt-BR" w:eastAsia="en-US" w:bidi="ar-SA"/>
        </w:rPr>
      </w:pPr>
    </w:p>
    <w:p w14:paraId="2129EBCE">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3.1.5</w:t>
      </w:r>
      <w:r>
        <w:rPr>
          <w:rFonts w:ascii="Arial" w:hAnsi="Arial" w:eastAsia="Verdana" w:cs="Arial"/>
          <w:bCs/>
          <w:iCs/>
          <w:color w:val="auto"/>
          <w:sz w:val="22"/>
          <w:szCs w:val="22"/>
          <w:lang w:val="pt-PT" w:eastAsia="en-US" w:bidi="ar-SA"/>
        </w:rPr>
        <w:t xml:space="preserve"> Os produtos deverão ser entregues nos seguintes endereços:</w:t>
      </w:r>
      <w:r>
        <w:rPr>
          <w:rFonts w:ascii="Arial" w:hAnsi="Arial" w:eastAsia="Verdana" w:cs="Arial"/>
          <w:bCs/>
          <w:iCs/>
          <w:color w:val="auto"/>
          <w:sz w:val="22"/>
          <w:szCs w:val="22"/>
          <w:lang w:val="pt-PT" w:eastAsia="en-US" w:bidi="ar-SA"/>
        </w:rPr>
        <w:br w:type="textWrapping"/>
      </w:r>
    </w:p>
    <w:p w14:paraId="56863962">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3.1.5.1</w:t>
      </w:r>
      <w:r>
        <w:rPr>
          <w:rFonts w:ascii="Arial" w:hAnsi="Arial" w:eastAsia="Verdana" w:cs="Arial"/>
          <w:bCs/>
          <w:iCs/>
          <w:color w:val="auto"/>
          <w:sz w:val="22"/>
          <w:szCs w:val="22"/>
          <w:lang w:val="pt-PT" w:eastAsia="en-US" w:bidi="ar-SA"/>
        </w:rPr>
        <w:t xml:space="preserve"> Centro POP – Alameda Visconde de Taunay, nº 278 – Parque São Clemente, Olaria - Nova Friburgo – RJ; de segunda a sexta- feira, entre 9h as 16h.</w:t>
      </w:r>
      <w:r>
        <w:rPr>
          <w:rFonts w:ascii="Arial" w:hAnsi="Arial" w:eastAsia="Verdana" w:cs="Arial"/>
          <w:bCs/>
          <w:iCs/>
          <w:color w:val="auto"/>
          <w:sz w:val="22"/>
          <w:szCs w:val="22"/>
          <w:lang w:val="pt-PT" w:eastAsia="en-US" w:bidi="ar-SA"/>
        </w:rPr>
        <w:br w:type="textWrapping"/>
      </w:r>
    </w:p>
    <w:p w14:paraId="69B67F7A">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3.1.5.2 </w:t>
      </w:r>
      <w:r>
        <w:rPr>
          <w:rFonts w:ascii="Arial" w:hAnsi="Arial" w:eastAsia="Verdana" w:cs="Arial"/>
          <w:bCs/>
          <w:iCs/>
          <w:color w:val="auto"/>
          <w:sz w:val="22"/>
          <w:szCs w:val="22"/>
          <w:lang w:val="pt-PT" w:eastAsia="en-US" w:bidi="ar-SA"/>
        </w:rPr>
        <w:t>CAIVS – Casa de Acolhimento Institucional Vila Sorriso – Rua Itajubá S/N Vargem Grande – Cônego – Nova Friburgo – RJ; de segunda a sexta- feira, entre 9h as 16h.</w:t>
      </w:r>
      <w:r>
        <w:rPr>
          <w:rFonts w:ascii="Arial" w:hAnsi="Arial" w:eastAsia="Verdana" w:cs="Arial"/>
          <w:bCs/>
          <w:iCs/>
          <w:color w:val="auto"/>
          <w:sz w:val="22"/>
          <w:szCs w:val="22"/>
          <w:lang w:val="pt-PT" w:eastAsia="en-US" w:bidi="ar-SA"/>
        </w:rPr>
        <w:br w:type="textWrapping"/>
      </w:r>
    </w:p>
    <w:p w14:paraId="0486409E">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3.1.6</w:t>
      </w:r>
      <w:r>
        <w:rPr>
          <w:rFonts w:ascii="Arial" w:hAnsi="Arial" w:eastAsia="Verdana" w:cs="Arial"/>
          <w:bCs/>
          <w:iCs/>
          <w:color w:val="auto"/>
          <w:sz w:val="22"/>
          <w:szCs w:val="22"/>
          <w:lang w:val="pt-PT" w:eastAsia="en-US" w:bidi="ar-SA"/>
        </w:rPr>
        <w:t xml:space="preserve"> Outros locais indicados formalmente pela CONTRATANTE, desde que situados no Município de Nova Friburgo/RJ.</w:t>
      </w:r>
    </w:p>
    <w:p w14:paraId="478FC683">
      <w:pPr>
        <w:pStyle w:val="11"/>
        <w:jc w:val="both"/>
        <w:rPr>
          <w:rFonts w:hint="default" w:ascii="Arial" w:hAnsi="Arial" w:cs="Arial"/>
          <w:bCs/>
          <w:iCs/>
          <w:color w:val="auto"/>
          <w:sz w:val="22"/>
          <w:szCs w:val="22"/>
          <w:lang w:val="pt-BR" w:eastAsia="en-US" w:bidi="ar-SA"/>
        </w:rPr>
      </w:pPr>
    </w:p>
    <w:p w14:paraId="0AB2F26A">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3.1.7 </w:t>
      </w:r>
      <w:r>
        <w:rPr>
          <w:rFonts w:ascii="Arial" w:hAnsi="Arial" w:eastAsia="Verdana" w:cs="Arial"/>
          <w:bCs/>
          <w:iCs/>
          <w:color w:val="auto"/>
          <w:sz w:val="22"/>
          <w:szCs w:val="22"/>
          <w:lang w:val="pt-PT" w:eastAsia="en-US" w:bidi="ar-SA"/>
        </w:rPr>
        <w:t>Os alimentos serão recebidos provisoriamente, de forma sumária, no ato da entrega, pelo servidor designado para o acompanhamento e fiscalização do contrato, para posterior verificação de conformidade com as especificações técnicas constantes neste Termo de Referência e na proposta.</w:t>
      </w:r>
    </w:p>
    <w:p w14:paraId="0DE3E401">
      <w:pPr>
        <w:pStyle w:val="11"/>
        <w:jc w:val="both"/>
        <w:rPr>
          <w:rFonts w:hint="default" w:ascii="Arial" w:hAnsi="Arial" w:cs="Arial"/>
          <w:bCs/>
          <w:iCs/>
          <w:color w:val="auto"/>
          <w:sz w:val="22"/>
          <w:szCs w:val="22"/>
          <w:lang w:val="pt-BR" w:eastAsia="en-US" w:bidi="ar-SA"/>
        </w:rPr>
      </w:pPr>
    </w:p>
    <w:p w14:paraId="29D510EE">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3.1.8 </w:t>
      </w:r>
      <w:r>
        <w:rPr>
          <w:rFonts w:ascii="Arial" w:hAnsi="Arial" w:eastAsia="Verdana" w:cs="Arial"/>
          <w:bCs/>
          <w:iCs/>
          <w:color w:val="auto"/>
          <w:sz w:val="22"/>
          <w:szCs w:val="22"/>
          <w:lang w:val="pt-PT" w:eastAsia="en-US" w:bidi="ar-SA"/>
        </w:rPr>
        <w:t xml:space="preserve"> Os produtos poderão ser rejeitados, no todo ou em parte, quando em desacordo com as especificações exigidas. Neste caso, a contratada deverá providenciar a substituição imediata, no prazo máximo de 2 (dois) dias úteis, contados da notificação, sem ônus adicional para a Administração.</w:t>
      </w:r>
    </w:p>
    <w:p w14:paraId="67F7100B">
      <w:pPr>
        <w:pStyle w:val="11"/>
        <w:jc w:val="both"/>
        <w:rPr>
          <w:rFonts w:hint="default" w:ascii="Arial" w:hAnsi="Arial" w:cs="Arial"/>
          <w:bCs/>
          <w:iCs/>
          <w:color w:val="auto"/>
          <w:sz w:val="22"/>
          <w:szCs w:val="22"/>
          <w:lang w:val="pt-BR" w:eastAsia="en-US" w:bidi="ar-SA"/>
        </w:rPr>
      </w:pPr>
    </w:p>
    <w:p w14:paraId="745EFF99">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3.1.9 </w:t>
      </w:r>
      <w:r>
        <w:rPr>
          <w:rFonts w:ascii="Arial" w:hAnsi="Arial" w:eastAsia="Verdana" w:cs="Arial"/>
          <w:bCs/>
          <w:iCs/>
          <w:color w:val="auto"/>
          <w:sz w:val="22"/>
          <w:szCs w:val="22"/>
          <w:lang w:val="pt-PT" w:eastAsia="en-US" w:bidi="ar-SA"/>
        </w:rPr>
        <w:t>O recebimento definitivo ocorrerá no prazo de até 5 (cinco) dias úteis após o recebimento provisório, mediante conferência da conformidade dos produtos, quantidade e qualidade, sendo formalizado por meio de termo de recebimento definitivo.</w:t>
      </w:r>
    </w:p>
    <w:p w14:paraId="4D0D768F">
      <w:pPr>
        <w:pStyle w:val="11"/>
        <w:jc w:val="both"/>
        <w:rPr>
          <w:rFonts w:hint="default" w:ascii="Arial" w:hAnsi="Arial" w:cs="Arial"/>
          <w:bCs/>
          <w:iCs/>
          <w:color w:val="auto"/>
          <w:sz w:val="22"/>
          <w:szCs w:val="22"/>
          <w:lang w:val="pt-BR" w:eastAsia="en-US" w:bidi="ar-SA"/>
        </w:rPr>
      </w:pPr>
    </w:p>
    <w:p w14:paraId="3B5BDBF1">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3.1.10 </w:t>
      </w:r>
      <w:r>
        <w:rPr>
          <w:rFonts w:ascii="Arial" w:hAnsi="Arial" w:eastAsia="Verdana" w:cs="Arial"/>
          <w:bCs/>
          <w:iCs/>
          <w:color w:val="auto"/>
          <w:sz w:val="22"/>
          <w:szCs w:val="22"/>
          <w:lang w:val="pt-PT" w:eastAsia="en-US" w:bidi="ar-SA"/>
        </w:rPr>
        <w:t>Caso a Administração não se manifeste no prazo estipulado, considerar-se-á automaticamente efetivado o recebimento definitivo no último dia do prazo fixado, salvo manifestação formal em sentido contrário.</w:t>
      </w:r>
    </w:p>
    <w:p w14:paraId="21957104">
      <w:pPr>
        <w:pStyle w:val="11"/>
        <w:jc w:val="both"/>
        <w:rPr>
          <w:rFonts w:hint="default" w:ascii="Arial" w:hAnsi="Arial" w:cs="Arial"/>
          <w:bCs/>
          <w:iCs/>
          <w:color w:val="auto"/>
          <w:sz w:val="22"/>
          <w:szCs w:val="22"/>
          <w:lang w:val="pt-BR" w:eastAsia="en-US" w:bidi="ar-SA"/>
        </w:rPr>
      </w:pPr>
    </w:p>
    <w:p w14:paraId="001D504F">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3.1.11</w:t>
      </w:r>
      <w:r>
        <w:rPr>
          <w:rFonts w:ascii="Arial" w:hAnsi="Arial" w:eastAsia="Verdana" w:cs="Arial"/>
          <w:bCs/>
          <w:iCs/>
          <w:color w:val="auto"/>
          <w:sz w:val="22"/>
          <w:szCs w:val="22"/>
          <w:lang w:val="pt-PT" w:eastAsia="en-US" w:bidi="ar-SA"/>
        </w:rPr>
        <w:t xml:space="preserve"> O recebimento provisório ou definitivo não exclui a responsabilidade da contratada quanto a vícios ocultos, defeitos de fabricação, não conformidade com os padrões exigidos ou quaisquer danos que venham a surgir após a entrega, respondendo a contratada civil, administrativa e tecnicamente pela integridade dos produtos fornecidos.</w:t>
      </w:r>
    </w:p>
    <w:p w14:paraId="73345827">
      <w:pPr>
        <w:pStyle w:val="11"/>
        <w:jc w:val="both"/>
        <w:rPr>
          <w:rFonts w:ascii="Calibri" w:hAnsi="Calibri" w:eastAsia="Calibri" w:cs="Calibri"/>
          <w:color w:val="000000"/>
          <w:sz w:val="20"/>
          <w:szCs w:val="20"/>
        </w:rPr>
      </w:pPr>
    </w:p>
    <w:p w14:paraId="5B24F929">
      <w:pPr>
        <w:pStyle w:val="62"/>
        <w:keepNext/>
        <w:keepLines/>
        <w:numPr>
          <w:ilvl w:val="0"/>
          <w:numId w:val="0"/>
        </w:numPr>
        <w:tabs>
          <w:tab w:val="left" w:pos="-6"/>
        </w:tabs>
        <w:spacing w:line="276" w:lineRule="auto"/>
        <w:jc w:val="both"/>
        <w:rPr>
          <w:rFonts w:ascii="Arial" w:hAnsi="Arial" w:eastAsia="Verdana" w:cs="Arial"/>
          <w:bCs/>
          <w:iCs/>
          <w:color w:val="auto"/>
          <w:sz w:val="22"/>
          <w:szCs w:val="22"/>
          <w:u w:val="single"/>
          <w:lang w:val="pt-PT" w:eastAsia="en-US" w:bidi="ar-SA"/>
        </w:rPr>
      </w:pPr>
      <w:r>
        <w:rPr>
          <w:rFonts w:hint="default" w:ascii="Arial" w:hAnsi="Arial" w:eastAsia="Verdana" w:cs="Arial"/>
          <w:bCs/>
          <w:iCs/>
          <w:color w:val="auto"/>
          <w:sz w:val="22"/>
          <w:szCs w:val="22"/>
          <w:u w:val="single"/>
          <w:lang w:val="pt-BR" w:eastAsia="en-US" w:bidi="ar-SA"/>
        </w:rPr>
        <w:t xml:space="preserve">3.2 </w:t>
      </w:r>
      <w:r>
        <w:rPr>
          <w:rFonts w:ascii="Arial" w:hAnsi="Arial" w:eastAsia="Verdana" w:cs="Arial"/>
          <w:bCs/>
          <w:iCs/>
          <w:color w:val="auto"/>
          <w:sz w:val="22"/>
          <w:szCs w:val="22"/>
          <w:u w:val="single"/>
          <w:lang w:val="pt-PT" w:eastAsia="en-US" w:bidi="ar-SA"/>
        </w:rPr>
        <w:t>MODELO DE GESTÃO DO CONTRATO (art. 6º, XXIII, alínea ‘f’ da Lei nº 14.133/2021)</w:t>
      </w:r>
      <w:r>
        <w:rPr>
          <w:rFonts w:hint="default" w:ascii="Arial" w:hAnsi="Arial" w:eastAsia="Verdana" w:cs="Arial"/>
          <w:bCs/>
          <w:iCs/>
          <w:color w:val="auto"/>
          <w:sz w:val="22"/>
          <w:szCs w:val="22"/>
          <w:u w:val="single"/>
          <w:lang w:val="pt-BR" w:eastAsia="en-US" w:bidi="ar-SA"/>
        </w:rPr>
        <w:t>:</w:t>
      </w:r>
      <w:r>
        <w:rPr>
          <w:rFonts w:ascii="Arial" w:hAnsi="Arial" w:eastAsia="Verdana" w:cs="Arial"/>
          <w:bCs/>
          <w:iCs/>
          <w:color w:val="auto"/>
          <w:sz w:val="22"/>
          <w:szCs w:val="22"/>
          <w:u w:val="single"/>
          <w:lang w:val="pt-PT" w:eastAsia="en-US" w:bidi="ar-SA"/>
        </w:rPr>
        <w:br w:type="textWrapping"/>
      </w:r>
    </w:p>
    <w:p w14:paraId="523B9B05">
      <w:pPr>
        <w:pStyle w:val="62"/>
        <w:keepNext/>
        <w:keepLines/>
        <w:numPr>
          <w:ilvl w:val="0"/>
          <w:numId w:val="0"/>
        </w:numPr>
        <w:tabs>
          <w:tab w:val="left" w:pos="-6"/>
        </w:tabs>
        <w:spacing w:line="276" w:lineRule="auto"/>
        <w:jc w:val="both"/>
        <w:rPr>
          <w:rFonts w:ascii="Arial" w:hAnsi="Arial" w:eastAsia="Verdana" w:cs="Arial"/>
          <w:bCs/>
          <w:iCs/>
          <w:color w:val="auto"/>
          <w:sz w:val="22"/>
          <w:szCs w:val="22"/>
          <w:lang w:val="pt-PT" w:eastAsia="en-US" w:bidi="ar-SA"/>
        </w:rPr>
      </w:pPr>
      <w:r>
        <w:rPr>
          <w:rFonts w:hint="default" w:ascii="Arial" w:hAnsi="Arial" w:eastAsia="Verdana" w:cs="Arial"/>
          <w:bCs/>
          <w:iCs/>
          <w:color w:val="auto"/>
          <w:sz w:val="22"/>
          <w:szCs w:val="22"/>
          <w:u w:val="none"/>
          <w:lang w:val="pt-BR" w:eastAsia="en-US" w:bidi="ar-SA"/>
        </w:rPr>
        <w:t xml:space="preserve">3.2.1 </w:t>
      </w:r>
      <w:r>
        <w:rPr>
          <w:rFonts w:ascii="Arial" w:hAnsi="Arial" w:eastAsia="Verdana" w:cs="Arial"/>
          <w:bCs/>
          <w:iCs/>
          <w:color w:val="auto"/>
          <w:sz w:val="22"/>
          <w:szCs w:val="22"/>
          <w:lang w:val="pt-PT" w:eastAsia="en-US" w:bidi="ar-SA"/>
        </w:rPr>
        <w:t>O contrato deverá ser executado fielmente pelas partes, de acordo com as cláusulas avençadas e as normas da Lei nº 14.133/2021, e cada parte responderá pelas consequências de sua inexecução total ou parcial (Lei nº 14.133/2021, art. 115, caput).</w:t>
      </w:r>
    </w:p>
    <w:p w14:paraId="290453C2">
      <w:pPr>
        <w:pStyle w:val="11"/>
        <w:jc w:val="both"/>
        <w:rPr>
          <w:rFonts w:hint="default" w:ascii="Arial" w:hAnsi="Arial" w:cs="Arial"/>
          <w:bCs/>
          <w:iCs/>
          <w:color w:val="auto"/>
          <w:sz w:val="22"/>
          <w:szCs w:val="22"/>
          <w:lang w:val="pt-BR" w:eastAsia="en-US" w:bidi="ar-SA"/>
        </w:rPr>
      </w:pPr>
    </w:p>
    <w:p w14:paraId="1C8EAAB0">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3.2.2 </w:t>
      </w:r>
      <w:r>
        <w:rPr>
          <w:rFonts w:ascii="Arial" w:hAnsi="Arial" w:eastAsia="Verdana" w:cs="Arial"/>
          <w:bCs/>
          <w:iCs/>
          <w:color w:val="auto"/>
          <w:sz w:val="22"/>
          <w:szCs w:val="22"/>
          <w:lang w:val="pt-PT" w:eastAsia="en-US" w:bidi="ar-SA"/>
        </w:rPr>
        <w:t xml:space="preserve"> Em caso de impedimento, ordem de paralisação ou suspensão do contrato, os prazos de entrega serão prorrogados automaticamente pelo tempo correspondente, anotadas tais circunstâncias mediante simples apostila (Lei nº 14.133/2021, art. 115, §5º).</w:t>
      </w:r>
      <w:r>
        <w:rPr>
          <w:rFonts w:ascii="Arial" w:hAnsi="Arial" w:eastAsia="Verdana" w:cs="Arial"/>
          <w:bCs/>
          <w:iCs/>
          <w:color w:val="auto"/>
          <w:sz w:val="22"/>
          <w:szCs w:val="22"/>
          <w:lang w:val="pt-PT" w:eastAsia="en-US" w:bidi="ar-SA"/>
        </w:rPr>
        <w:br w:type="textWrapping"/>
      </w:r>
    </w:p>
    <w:p w14:paraId="0C80A05C">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3.2.3 </w:t>
      </w:r>
      <w:r>
        <w:rPr>
          <w:rFonts w:ascii="Arial" w:hAnsi="Arial" w:eastAsia="Verdana" w:cs="Arial"/>
          <w:bCs/>
          <w:iCs/>
          <w:color w:val="auto"/>
          <w:sz w:val="22"/>
          <w:szCs w:val="22"/>
          <w:lang w:val="pt-PT" w:eastAsia="en-US" w:bidi="ar-SA"/>
        </w:rPr>
        <w:t>A execução contratual deverá ser acompanhada e fiscalizada pelo(s) fiscal(is) do contrato ou pelos respectivos substitutos (Lei nº 14.133/2021, art. 117, caput).</w:t>
      </w:r>
      <w:r>
        <w:rPr>
          <w:rFonts w:ascii="Arial" w:hAnsi="Arial" w:eastAsia="Verdana" w:cs="Arial"/>
          <w:bCs/>
          <w:iCs/>
          <w:color w:val="auto"/>
          <w:sz w:val="22"/>
          <w:szCs w:val="22"/>
          <w:lang w:val="pt-PT" w:eastAsia="en-US" w:bidi="ar-SA"/>
        </w:rPr>
        <w:br w:type="textWrapping"/>
      </w:r>
    </w:p>
    <w:p w14:paraId="39889D63">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3.2.4 </w:t>
      </w:r>
      <w:r>
        <w:rPr>
          <w:rFonts w:ascii="Arial" w:hAnsi="Arial" w:eastAsia="Verdana" w:cs="Arial"/>
          <w:bCs/>
          <w:iCs/>
          <w:color w:val="auto"/>
          <w:sz w:val="22"/>
          <w:szCs w:val="22"/>
          <w:lang w:val="pt-PT" w:eastAsia="en-US" w:bidi="ar-SA"/>
        </w:rPr>
        <w:t>O fiscal do contrato anotará em registro próprio todas as ocorrências relacionadas ao fornecimento dos materiais, determinando o que for necessário para a regularização das faltas, inconformidades ou defeitos observados (Lei nº 14.133/2021, art. 117, §1º).</w:t>
      </w:r>
      <w:r>
        <w:rPr>
          <w:rFonts w:ascii="Arial" w:hAnsi="Arial" w:eastAsia="Verdana" w:cs="Arial"/>
          <w:bCs/>
          <w:iCs/>
          <w:color w:val="auto"/>
          <w:sz w:val="22"/>
          <w:szCs w:val="22"/>
          <w:lang w:val="pt-PT" w:eastAsia="en-US" w:bidi="ar-SA"/>
        </w:rPr>
        <w:br w:type="textWrapping"/>
      </w:r>
    </w:p>
    <w:p w14:paraId="3D6C447F">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3.2.5 </w:t>
      </w:r>
      <w:r>
        <w:rPr>
          <w:rFonts w:ascii="Arial" w:hAnsi="Arial" w:eastAsia="Verdana" w:cs="Arial"/>
          <w:bCs/>
          <w:iCs/>
          <w:color w:val="auto"/>
          <w:sz w:val="22"/>
          <w:szCs w:val="22"/>
          <w:lang w:val="pt-PT" w:eastAsia="en-US" w:bidi="ar-SA"/>
        </w:rPr>
        <w:t>O fiscal do contrato informará a seus superiores, em tempo hábil, quaisquer situações que demandem providência ou decisão além de sua competência (Lei nº 14.133/2021, art. 117,§2º).</w:t>
      </w:r>
    </w:p>
    <w:p w14:paraId="3CDC4417">
      <w:pPr>
        <w:pStyle w:val="11"/>
        <w:jc w:val="both"/>
        <w:rPr>
          <w:rFonts w:ascii="Arial" w:hAnsi="Arial" w:eastAsia="Verdana" w:cs="Arial"/>
          <w:bCs/>
          <w:iCs/>
          <w:color w:val="auto"/>
          <w:sz w:val="22"/>
          <w:szCs w:val="22"/>
          <w:lang w:val="pt-PT" w:eastAsia="en-US" w:bidi="ar-SA"/>
        </w:rPr>
      </w:pPr>
      <w:r>
        <w:rPr>
          <w:rFonts w:ascii="Arial" w:hAnsi="Arial" w:eastAsia="Verdana" w:cs="Arial"/>
          <w:bCs/>
          <w:iCs/>
          <w:color w:val="auto"/>
          <w:sz w:val="22"/>
          <w:szCs w:val="22"/>
          <w:lang w:val="pt-PT" w:eastAsia="en-US" w:bidi="ar-SA"/>
        </w:rPr>
        <w:br w:type="textWrapping"/>
      </w:r>
      <w:r>
        <w:rPr>
          <w:rFonts w:hint="default" w:ascii="Arial" w:hAnsi="Arial" w:cs="Arial"/>
          <w:bCs/>
          <w:iCs/>
          <w:color w:val="auto"/>
          <w:sz w:val="22"/>
          <w:szCs w:val="22"/>
          <w:lang w:val="pt-BR" w:eastAsia="en-US" w:bidi="ar-SA"/>
        </w:rPr>
        <w:t xml:space="preserve">3.2.6 </w:t>
      </w:r>
      <w:r>
        <w:rPr>
          <w:rFonts w:ascii="Arial" w:hAnsi="Arial" w:eastAsia="Verdana" w:cs="Arial"/>
          <w:bCs/>
          <w:iCs/>
          <w:color w:val="auto"/>
          <w:sz w:val="22"/>
          <w:szCs w:val="22"/>
          <w:lang w:val="pt-PT" w:eastAsia="en-US" w:bidi="ar-SA"/>
        </w:rPr>
        <w:t>A Contratada será obrigada a reparar, substituir ou complementar, às suas expensas, no total ou em parte, os materiais entregues que apresentarem vícios, defeitos ou não conformidades com as especificações do contrato (Lei nº 14.133/2021, art. 119).</w:t>
      </w:r>
      <w:r>
        <w:rPr>
          <w:rFonts w:ascii="Arial" w:hAnsi="Arial" w:eastAsia="Verdana" w:cs="Arial"/>
          <w:bCs/>
          <w:iCs/>
          <w:color w:val="auto"/>
          <w:sz w:val="22"/>
          <w:szCs w:val="22"/>
          <w:lang w:val="pt-PT" w:eastAsia="en-US" w:bidi="ar-SA"/>
        </w:rPr>
        <w:br w:type="textWrapping"/>
      </w:r>
    </w:p>
    <w:p w14:paraId="0B946C95">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3.2.7 </w:t>
      </w:r>
      <w:r>
        <w:rPr>
          <w:rFonts w:ascii="Arial" w:hAnsi="Arial" w:eastAsia="Verdana" w:cs="Arial"/>
          <w:bCs/>
          <w:iCs/>
          <w:color w:val="auto"/>
          <w:sz w:val="22"/>
          <w:szCs w:val="22"/>
          <w:lang w:val="pt-PT" w:eastAsia="en-US" w:bidi="ar-SA"/>
        </w:rPr>
        <w:t>A Contratada será responsável pelos danos causados diretamente à Administração ou a terceiros em razão do fornecimento de materiais, não excluindo ou reduzindo essa responsabilidade a fiscalização exercida pelo Contratante (Lei nº 14.133/2021, art. 120).</w:t>
      </w:r>
      <w:r>
        <w:rPr>
          <w:rFonts w:ascii="Arial" w:hAnsi="Arial" w:eastAsia="Verdana" w:cs="Arial"/>
          <w:bCs/>
          <w:iCs/>
          <w:color w:val="auto"/>
          <w:sz w:val="22"/>
          <w:szCs w:val="22"/>
          <w:lang w:val="pt-PT" w:eastAsia="en-US" w:bidi="ar-SA"/>
        </w:rPr>
        <w:br w:type="textWrapping"/>
      </w:r>
    </w:p>
    <w:p w14:paraId="16A480A8">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3.2.8 </w:t>
      </w:r>
      <w:r>
        <w:rPr>
          <w:rFonts w:ascii="Arial" w:hAnsi="Arial" w:eastAsia="Verdana" w:cs="Arial"/>
          <w:bCs/>
          <w:iCs/>
          <w:color w:val="auto"/>
          <w:sz w:val="22"/>
          <w:szCs w:val="22"/>
          <w:lang w:val="pt-PT" w:eastAsia="en-US" w:bidi="ar-SA"/>
        </w:rPr>
        <w:t>Somente a Contratada será responsável pelos encargos trabalhistas, previdenciários, fiscais e comerciais relacionados ao fornecimento dos materiais (Lei nº 14.133/2021, art. 121, caput).</w:t>
      </w:r>
      <w:r>
        <w:rPr>
          <w:rFonts w:ascii="Arial" w:hAnsi="Arial" w:eastAsia="Verdana" w:cs="Arial"/>
          <w:bCs/>
          <w:iCs/>
          <w:color w:val="auto"/>
          <w:sz w:val="22"/>
          <w:szCs w:val="22"/>
          <w:lang w:val="pt-PT" w:eastAsia="en-US" w:bidi="ar-SA"/>
        </w:rPr>
        <w:br w:type="textWrapping"/>
      </w:r>
    </w:p>
    <w:p w14:paraId="3AD519DD">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3.2.9 </w:t>
      </w:r>
      <w:r>
        <w:rPr>
          <w:rFonts w:ascii="Arial" w:hAnsi="Arial" w:eastAsia="Verdana" w:cs="Arial"/>
          <w:bCs/>
          <w:iCs/>
          <w:color w:val="auto"/>
          <w:sz w:val="22"/>
          <w:szCs w:val="22"/>
          <w:lang w:val="pt-PT" w:eastAsia="en-US" w:bidi="ar-SA"/>
        </w:rPr>
        <w:t>A inadimplência da Contratada quanto a esses encargos não transfere à Administração qualquer responsabilidade pelo seu pagamento, tampouco poderá onerar o objeto do contrato (Lei nº 14.133/2021, art. 121, §1º).</w:t>
      </w:r>
      <w:r>
        <w:rPr>
          <w:rFonts w:ascii="Arial" w:hAnsi="Arial" w:eastAsia="Verdana" w:cs="Arial"/>
          <w:bCs/>
          <w:iCs/>
          <w:color w:val="auto"/>
          <w:sz w:val="22"/>
          <w:szCs w:val="22"/>
          <w:lang w:val="pt-PT" w:eastAsia="en-US" w:bidi="ar-SA"/>
        </w:rPr>
        <w:br w:type="textWrapping"/>
      </w:r>
    </w:p>
    <w:p w14:paraId="63DAAF4A">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3.2.10 </w:t>
      </w:r>
      <w:r>
        <w:rPr>
          <w:rFonts w:ascii="Arial" w:hAnsi="Arial" w:eastAsia="Verdana" w:cs="Arial"/>
          <w:bCs/>
          <w:iCs/>
          <w:color w:val="auto"/>
          <w:sz w:val="22"/>
          <w:szCs w:val="22"/>
          <w:lang w:val="pt-PT" w:eastAsia="en-US" w:bidi="ar-SA"/>
        </w:rPr>
        <w:t>As comunicações entre o órgão/entidade e a Contratada devem ser realizadas por escrito, salvo em casos em que se admite, excepcionalmente, o uso de meio eletrônico (IN nº 5/2017, art. 44, §2º).</w:t>
      </w:r>
      <w:r>
        <w:rPr>
          <w:rFonts w:ascii="Arial" w:hAnsi="Arial" w:eastAsia="Verdana" w:cs="Arial"/>
          <w:bCs/>
          <w:iCs/>
          <w:color w:val="auto"/>
          <w:sz w:val="22"/>
          <w:szCs w:val="22"/>
          <w:lang w:val="pt-PT" w:eastAsia="en-US" w:bidi="ar-SA"/>
        </w:rPr>
        <w:br w:type="textWrapping"/>
      </w:r>
    </w:p>
    <w:p w14:paraId="3E558141">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3.2.11 </w:t>
      </w:r>
      <w:r>
        <w:rPr>
          <w:rFonts w:ascii="Arial" w:hAnsi="Arial" w:eastAsia="Verdana" w:cs="Arial"/>
          <w:bCs/>
          <w:iCs/>
          <w:color w:val="auto"/>
          <w:sz w:val="22"/>
          <w:szCs w:val="22"/>
          <w:lang w:val="pt-PT" w:eastAsia="en-US" w:bidi="ar-SA"/>
        </w:rPr>
        <w:t>O órgão poderá convocar representante da empresa para tratar de providências que exijam adoção imediata (IN nº 5/2017, art. 44, §3º).</w:t>
      </w:r>
      <w:r>
        <w:rPr>
          <w:rFonts w:ascii="Arial" w:hAnsi="Arial" w:eastAsia="Verdana" w:cs="Arial"/>
          <w:bCs/>
          <w:iCs/>
          <w:color w:val="auto"/>
          <w:sz w:val="22"/>
          <w:szCs w:val="22"/>
          <w:lang w:val="pt-PT" w:eastAsia="en-US" w:bidi="ar-SA"/>
        </w:rPr>
        <w:br w:type="textWrapping"/>
      </w:r>
    </w:p>
    <w:p w14:paraId="5F7ADA40">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3.2.12 </w:t>
      </w:r>
      <w:r>
        <w:rPr>
          <w:rFonts w:ascii="Arial" w:hAnsi="Arial" w:eastAsia="Verdana" w:cs="Arial"/>
          <w:bCs/>
          <w:iCs/>
          <w:color w:val="auto"/>
          <w:sz w:val="22"/>
          <w:szCs w:val="22"/>
          <w:lang w:val="pt-PT" w:eastAsia="en-US" w:bidi="ar-SA"/>
        </w:rPr>
        <w:t>Após a assinatura do contrato, o órgão convocará representante da empresa para reunião inicial, apresentando o plano de fiscalização, contendo informações sobre as obrigações contratuais, procedimentos de fiscalização, plano de entrega, critérios de aferição da conformidade dos materiais e possíveis sanções (IN nº 5/2017, art. 44, §1º).</w:t>
      </w:r>
      <w:r>
        <w:rPr>
          <w:rFonts w:ascii="Arial" w:hAnsi="Arial" w:eastAsia="Verdana" w:cs="Arial"/>
          <w:bCs/>
          <w:iCs/>
          <w:color w:val="auto"/>
          <w:sz w:val="22"/>
          <w:szCs w:val="22"/>
          <w:lang w:val="pt-PT" w:eastAsia="en-US" w:bidi="ar-SA"/>
        </w:rPr>
        <w:br w:type="textWrapping"/>
      </w:r>
    </w:p>
    <w:p w14:paraId="0727AB7E">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3.2.13 </w:t>
      </w:r>
      <w:r>
        <w:rPr>
          <w:rFonts w:ascii="Arial" w:hAnsi="Arial" w:eastAsia="Verdana" w:cs="Arial"/>
          <w:bCs/>
          <w:iCs/>
          <w:color w:val="auto"/>
          <w:sz w:val="22"/>
          <w:szCs w:val="22"/>
          <w:lang w:val="pt-PT" w:eastAsia="en-US" w:bidi="ar-SA"/>
        </w:rPr>
        <w:t>Antes do pagamento da nota fiscal, será verificada a regularidade da empresa junto ao SICAF.</w:t>
      </w:r>
      <w:r>
        <w:rPr>
          <w:rFonts w:ascii="Arial" w:hAnsi="Arial" w:eastAsia="Verdana" w:cs="Arial"/>
          <w:bCs/>
          <w:iCs/>
          <w:color w:val="auto"/>
          <w:sz w:val="22"/>
          <w:szCs w:val="22"/>
          <w:lang w:val="pt-PT" w:eastAsia="en-US" w:bidi="ar-SA"/>
        </w:rPr>
        <w:br w:type="textWrapping"/>
      </w:r>
    </w:p>
    <w:p w14:paraId="231D7B4D">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3.2.14 </w:t>
      </w:r>
      <w:r>
        <w:rPr>
          <w:rFonts w:ascii="Arial" w:hAnsi="Arial" w:eastAsia="Verdana" w:cs="Arial"/>
          <w:bCs/>
          <w:iCs/>
          <w:color w:val="auto"/>
          <w:sz w:val="22"/>
          <w:szCs w:val="22"/>
          <w:lang w:val="pt-PT" w:eastAsia="en-US" w:bidi="ar-SA"/>
        </w:rPr>
        <w:t>Serão exigidas, se não constarem regulares no SICAF: Certidão Negativa de Débitos Tributários Federais e Dívida Ativa da União, Certificado de Regularidade do FGTS (CRF) e Certidão Negativa de Débitos Trabalhistas (CNDT).</w:t>
      </w:r>
      <w:r>
        <w:rPr>
          <w:rFonts w:ascii="Arial" w:hAnsi="Arial" w:eastAsia="Verdana" w:cs="Arial"/>
          <w:bCs/>
          <w:iCs/>
          <w:color w:val="auto"/>
          <w:sz w:val="22"/>
          <w:szCs w:val="22"/>
          <w:lang w:val="pt-PT" w:eastAsia="en-US" w:bidi="ar-SA"/>
        </w:rPr>
        <w:br w:type="textWrapping"/>
      </w:r>
    </w:p>
    <w:p w14:paraId="3FB52EC5">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3.2.15 </w:t>
      </w:r>
      <w:r>
        <w:rPr>
          <w:rFonts w:ascii="Arial" w:hAnsi="Arial" w:eastAsia="Verdana" w:cs="Arial"/>
          <w:bCs/>
          <w:iCs/>
          <w:color w:val="auto"/>
          <w:sz w:val="22"/>
          <w:szCs w:val="22"/>
          <w:lang w:val="pt-PT" w:eastAsia="en-US" w:bidi="ar-SA"/>
        </w:rPr>
        <w:t>A fiscalização do fornecimento obedecerá às seguintes rotinas:</w:t>
      </w:r>
      <w:r>
        <w:rPr>
          <w:rFonts w:ascii="Arial" w:hAnsi="Arial" w:eastAsia="Verdana" w:cs="Arial"/>
          <w:bCs/>
          <w:iCs/>
          <w:color w:val="auto"/>
          <w:sz w:val="22"/>
          <w:szCs w:val="22"/>
          <w:lang w:val="pt-PT" w:eastAsia="en-US" w:bidi="ar-SA"/>
        </w:rPr>
        <w:br w:type="textWrapping"/>
      </w:r>
    </w:p>
    <w:p w14:paraId="3278D831">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3.2.16 </w:t>
      </w:r>
      <w:r>
        <w:rPr>
          <w:rFonts w:ascii="Arial" w:hAnsi="Arial" w:eastAsia="Verdana" w:cs="Arial"/>
          <w:bCs/>
          <w:iCs/>
          <w:color w:val="auto"/>
          <w:sz w:val="22"/>
          <w:szCs w:val="22"/>
          <w:lang w:val="pt-PT" w:eastAsia="en-US" w:bidi="ar-SA"/>
        </w:rPr>
        <w:t>O acompanhamento, gestão e fiscalização serão exercidos por representantes do Contratante, cabendo-lhes resolver dúvidas e relatar ocorrências à Administração, conforme o capítulo VI do título III da Lei nº 14.133/2021.</w:t>
      </w:r>
      <w:r>
        <w:rPr>
          <w:rFonts w:ascii="Arial" w:hAnsi="Arial" w:eastAsia="Verdana" w:cs="Arial"/>
          <w:bCs/>
          <w:iCs/>
          <w:color w:val="auto"/>
          <w:sz w:val="22"/>
          <w:szCs w:val="22"/>
          <w:lang w:val="pt-PT" w:eastAsia="en-US" w:bidi="ar-SA"/>
        </w:rPr>
        <w:br w:type="textWrapping"/>
      </w:r>
    </w:p>
    <w:p w14:paraId="04040D90">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3.2.17 </w:t>
      </w:r>
      <w:r>
        <w:rPr>
          <w:rFonts w:ascii="Arial" w:hAnsi="Arial" w:eastAsia="Verdana" w:cs="Arial"/>
          <w:bCs/>
          <w:iCs/>
          <w:color w:val="auto"/>
          <w:sz w:val="22"/>
          <w:szCs w:val="22"/>
          <w:lang w:val="pt-PT" w:eastAsia="en-US" w:bidi="ar-SA"/>
        </w:rPr>
        <w:t>Antes do início da execução contratual, serão designados formalmente os agentes públicos responsáveis como gestor e fiscal do contrato, bem como seus substitutos.</w:t>
      </w:r>
      <w:r>
        <w:rPr>
          <w:rFonts w:ascii="Arial" w:hAnsi="Arial" w:eastAsia="Verdana" w:cs="Arial"/>
          <w:bCs/>
          <w:iCs/>
          <w:color w:val="auto"/>
          <w:sz w:val="22"/>
          <w:szCs w:val="22"/>
          <w:lang w:val="pt-PT" w:eastAsia="en-US" w:bidi="ar-SA"/>
        </w:rPr>
        <w:br w:type="textWrapping"/>
      </w:r>
    </w:p>
    <w:p w14:paraId="13D9CEF7">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3.2.18 </w:t>
      </w:r>
      <w:r>
        <w:rPr>
          <w:rFonts w:ascii="Arial" w:hAnsi="Arial" w:eastAsia="Verdana" w:cs="Arial"/>
          <w:bCs/>
          <w:iCs/>
          <w:color w:val="auto"/>
          <w:sz w:val="22"/>
          <w:szCs w:val="22"/>
          <w:lang w:val="pt-PT" w:eastAsia="en-US" w:bidi="ar-SA"/>
        </w:rPr>
        <w:t>O(s) fiscal(is) registrará(ão) todas as ocorrências relevantes, indicando data e conteúdo, e encaminhará(ão) os registros à autoridade competente.</w:t>
      </w:r>
      <w:r>
        <w:rPr>
          <w:rFonts w:ascii="Arial" w:hAnsi="Arial" w:eastAsia="Verdana" w:cs="Arial"/>
          <w:bCs/>
          <w:iCs/>
          <w:color w:val="auto"/>
          <w:sz w:val="22"/>
          <w:szCs w:val="22"/>
          <w:lang w:val="pt-PT" w:eastAsia="en-US" w:bidi="ar-SA"/>
        </w:rPr>
        <w:br w:type="textWrapping"/>
      </w:r>
    </w:p>
    <w:p w14:paraId="57CF1CBF">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3.2.19 </w:t>
      </w:r>
      <w:r>
        <w:rPr>
          <w:rFonts w:ascii="Arial" w:hAnsi="Arial" w:eastAsia="Verdana" w:cs="Arial"/>
          <w:bCs/>
          <w:iCs/>
          <w:color w:val="auto"/>
          <w:sz w:val="22"/>
          <w:szCs w:val="22"/>
          <w:lang w:val="pt-PT" w:eastAsia="en-US" w:bidi="ar-SA"/>
        </w:rPr>
        <w:t>O(s) fiscal(is) deverá(ão) ter conhecimento técnico suficiente para avaliar a qualidade dos materiais entregues.</w:t>
      </w:r>
      <w:r>
        <w:rPr>
          <w:rFonts w:ascii="Arial" w:hAnsi="Arial" w:eastAsia="Verdana" w:cs="Arial"/>
          <w:bCs/>
          <w:iCs/>
          <w:color w:val="auto"/>
          <w:sz w:val="22"/>
          <w:szCs w:val="22"/>
          <w:lang w:val="pt-PT" w:eastAsia="en-US" w:bidi="ar-SA"/>
        </w:rPr>
        <w:br w:type="textWrapping"/>
      </w:r>
    </w:p>
    <w:p w14:paraId="73325A2D">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3.2.20 </w:t>
      </w:r>
      <w:r>
        <w:rPr>
          <w:rFonts w:ascii="Arial" w:hAnsi="Arial" w:eastAsia="Verdana" w:cs="Arial"/>
          <w:bCs/>
          <w:iCs/>
          <w:color w:val="auto"/>
          <w:sz w:val="22"/>
          <w:szCs w:val="22"/>
          <w:lang w:val="pt-PT" w:eastAsia="en-US" w:bidi="ar-SA"/>
        </w:rPr>
        <w:t>A verificação da conformidade do fornecimento será baseada nos critérios constantes deste Termo de Referência, especialmente as especificações dos materiais.</w:t>
      </w:r>
      <w:r>
        <w:rPr>
          <w:rFonts w:ascii="Arial" w:hAnsi="Arial" w:eastAsia="Verdana" w:cs="Arial"/>
          <w:bCs/>
          <w:iCs/>
          <w:color w:val="auto"/>
          <w:sz w:val="22"/>
          <w:szCs w:val="22"/>
          <w:lang w:val="pt-PT" w:eastAsia="en-US" w:bidi="ar-SA"/>
        </w:rPr>
        <w:br w:type="textWrapping"/>
      </w:r>
    </w:p>
    <w:p w14:paraId="50D70975">
      <w:pPr>
        <w:pStyle w:val="11"/>
        <w:jc w:val="both"/>
        <w:rPr>
          <w:rFonts w:ascii="Arial" w:hAnsi="Arial" w:cs="Arial"/>
          <w:bCs/>
          <w:iCs/>
        </w:rPr>
      </w:pPr>
      <w:r>
        <w:rPr>
          <w:rFonts w:hint="default" w:ascii="Arial" w:hAnsi="Arial" w:cs="Arial"/>
          <w:bCs/>
          <w:iCs/>
          <w:color w:val="auto"/>
          <w:sz w:val="22"/>
          <w:szCs w:val="22"/>
          <w:lang w:val="pt-BR" w:eastAsia="en-US" w:bidi="ar-SA"/>
        </w:rPr>
        <w:t xml:space="preserve">3.2.21 </w:t>
      </w:r>
      <w:r>
        <w:rPr>
          <w:rFonts w:ascii="Arial" w:hAnsi="Arial" w:eastAsia="Verdana" w:cs="Arial"/>
          <w:bCs/>
          <w:iCs/>
          <w:color w:val="auto"/>
          <w:sz w:val="22"/>
          <w:szCs w:val="22"/>
          <w:lang w:val="pt-PT" w:eastAsia="en-US" w:bidi="ar-SA"/>
        </w:rPr>
        <w:t xml:space="preserve"> A fiscalização não exclui nem reduz a responsabilidade da Contratada por eventuais danos decorrentes de falhas no fornecimento.</w:t>
      </w:r>
      <w:r>
        <w:rPr>
          <w:rFonts w:ascii="Arial" w:hAnsi="Arial" w:eastAsia="Verdana" w:cs="Arial"/>
          <w:bCs/>
          <w:iCs/>
          <w:color w:val="auto"/>
          <w:sz w:val="22"/>
          <w:szCs w:val="22"/>
          <w:lang w:val="pt-PT" w:eastAsia="en-US" w:bidi="ar-SA"/>
        </w:rPr>
        <w:br w:type="textWrapping"/>
      </w:r>
    </w:p>
    <w:p w14:paraId="3B78CDDD">
      <w:pPr>
        <w:pStyle w:val="20"/>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20632584">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20CD6C16">
      <w:pPr>
        <w:pStyle w:val="20"/>
        <w:widowControl/>
        <w:tabs>
          <w:tab w:val="left" w:pos="426"/>
        </w:tabs>
        <w:autoSpaceDE/>
        <w:autoSpaceDN/>
        <w:spacing w:before="120" w:after="120" w:line="276" w:lineRule="auto"/>
        <w:ind w:left="0"/>
        <w:jc w:val="both"/>
        <w:rPr>
          <w:rFonts w:ascii="Arial" w:hAnsi="Arial" w:cs="Arial"/>
          <w:bCs/>
          <w:i/>
          <w:iCs/>
          <w:color w:val="FF0000"/>
        </w:rPr>
      </w:pPr>
    </w:p>
    <w:p w14:paraId="18613D33">
      <w:pPr>
        <w:pStyle w:val="20"/>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5DF4C73D">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14:paraId="70314F2C">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15AD0D5">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14:paraId="373E7766">
      <w:pPr>
        <w:pStyle w:val="20"/>
        <w:widowControl/>
        <w:tabs>
          <w:tab w:val="left" w:pos="426"/>
        </w:tabs>
        <w:autoSpaceDE/>
        <w:autoSpaceDN/>
        <w:spacing w:before="120" w:after="120" w:line="276" w:lineRule="auto"/>
        <w:ind w:left="0"/>
        <w:jc w:val="both"/>
        <w:rPr>
          <w:rFonts w:ascii="Arial" w:hAnsi="Arial" w:cs="Arial"/>
          <w:bCs/>
          <w:i/>
          <w:color w:val="FF0000"/>
        </w:rPr>
      </w:pPr>
    </w:p>
    <w:p w14:paraId="3BF420F3">
      <w:pPr>
        <w:pStyle w:val="20"/>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5671033A">
      <w:pPr>
        <w:pStyle w:val="11"/>
        <w:spacing w:after="0"/>
        <w:jc w:val="both"/>
        <w:rPr>
          <w:rFonts w:ascii="Arial" w:hAnsi="Arial" w:eastAsia="Verdana" w:cs="Arial"/>
          <w:bCs/>
          <w:iCs/>
          <w:color w:val="auto"/>
          <w:sz w:val="22"/>
          <w:szCs w:val="22"/>
          <w:lang w:val="pt-PT" w:eastAsia="en-US" w:bidi="ar-SA"/>
        </w:rPr>
      </w:pPr>
    </w:p>
    <w:p w14:paraId="5E39F016">
      <w:pPr>
        <w:pStyle w:val="11"/>
        <w:spacing w:after="0"/>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 xml:space="preserve">6.1 </w:t>
      </w:r>
      <w:r>
        <w:rPr>
          <w:rFonts w:ascii="Arial" w:hAnsi="Arial" w:eastAsia="Verdana" w:cs="Arial"/>
          <w:bCs/>
          <w:iCs/>
          <w:color w:val="auto"/>
          <w:sz w:val="22"/>
          <w:szCs w:val="22"/>
          <w:lang w:val="pt-PT" w:eastAsia="en-US" w:bidi="ar-SA"/>
        </w:rPr>
        <w:t>A Nota Fiscal deverá ser emitida em nome do Fundo Municipal de Assistência Social, CNPJ: 07.293.841/0001-83, no endereço: Alameda Eduardo Guinle, nº 137, Centro, Nova Friburgo/RJ, CEP 28.625-130.</w:t>
      </w:r>
    </w:p>
    <w:p w14:paraId="4C2A56EA">
      <w:pPr>
        <w:pStyle w:val="11"/>
        <w:jc w:val="both"/>
        <w:rPr>
          <w:rFonts w:hint="default" w:ascii="Arial" w:hAnsi="Arial" w:cs="Arial"/>
          <w:bCs/>
          <w:iCs/>
          <w:color w:val="auto"/>
          <w:sz w:val="22"/>
          <w:szCs w:val="22"/>
          <w:lang w:val="pt-BR" w:eastAsia="en-US" w:bidi="ar-SA"/>
        </w:rPr>
      </w:pPr>
    </w:p>
    <w:p w14:paraId="2BF30BAE">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.2 Os gêneros alimentícios deverão ser entregues nos seguintes endereços:</w:t>
      </w:r>
      <w:r>
        <w:rPr>
          <w:rFonts w:ascii="Arial" w:hAnsi="Arial" w:eastAsia="Verdana" w:cs="Arial"/>
          <w:bCs/>
          <w:iCs/>
          <w:color w:val="auto"/>
          <w:sz w:val="22"/>
          <w:szCs w:val="22"/>
          <w:lang w:val="pt-PT" w:eastAsia="en-US" w:bidi="ar-SA"/>
        </w:rPr>
        <w:br w:type="textWrapping"/>
      </w:r>
    </w:p>
    <w:p w14:paraId="0A4F1254">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.2.1 Centro Pop – Alameda Visconde de Taunay, nº 278, Parque São Clemente, Olaria, Nova Friburgo – RJ; de segunda a sexta- feira, entre 9h as 16h.</w:t>
      </w:r>
      <w:r>
        <w:rPr>
          <w:rFonts w:ascii="Arial" w:hAnsi="Arial" w:eastAsia="Verdana" w:cs="Arial"/>
          <w:bCs/>
          <w:iCs/>
          <w:color w:val="auto"/>
          <w:sz w:val="22"/>
          <w:szCs w:val="22"/>
          <w:lang w:val="pt-PT" w:eastAsia="en-US" w:bidi="ar-SA"/>
        </w:rPr>
        <w:br w:type="textWrapping"/>
      </w:r>
    </w:p>
    <w:p w14:paraId="62970E6B">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.2.2 CAIVS – Casa de Acolhimento Institucional Vila Sorriso – Rua Itajubá s/n, Vargem Grande, Conego, Nova Friburgo – RJ, de segunda a sexta- feira, entre 9h as 16h.</w:t>
      </w:r>
    </w:p>
    <w:p w14:paraId="2B3A36C3">
      <w:pPr>
        <w:pStyle w:val="11"/>
        <w:jc w:val="both"/>
        <w:rPr>
          <w:rFonts w:hint="default" w:ascii="Arial" w:hAnsi="Arial" w:cs="Arial"/>
          <w:bCs/>
          <w:iCs/>
          <w:color w:val="auto"/>
          <w:sz w:val="22"/>
          <w:szCs w:val="22"/>
          <w:lang w:val="pt-BR" w:eastAsia="en-US" w:bidi="ar-SA"/>
        </w:rPr>
      </w:pPr>
    </w:p>
    <w:p w14:paraId="42B8CAF2">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.3 Da liquidação da despesa:</w:t>
      </w:r>
      <w:r>
        <w:rPr>
          <w:rFonts w:ascii="Arial" w:hAnsi="Arial" w:eastAsia="Verdana" w:cs="Arial"/>
          <w:bCs/>
          <w:iCs/>
          <w:color w:val="auto"/>
          <w:sz w:val="22"/>
          <w:szCs w:val="22"/>
          <w:lang w:val="pt-PT" w:eastAsia="en-US" w:bidi="ar-SA"/>
        </w:rPr>
        <w:br w:type="textWrapping"/>
      </w:r>
    </w:p>
    <w:p w14:paraId="4368C273">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.3.1 A liquidação será realizada pela Secretaria de Fazenda, a partir do cumprimento das obrigações elencadas neste Termo de Referência, em obediência ao Decreto nº 2.493, de 07 de novembro de 2023.</w:t>
      </w:r>
    </w:p>
    <w:p w14:paraId="70618855">
      <w:pPr>
        <w:pStyle w:val="11"/>
        <w:jc w:val="both"/>
        <w:rPr>
          <w:rFonts w:ascii="Arial" w:hAnsi="Arial" w:eastAsia="Verdana" w:cs="Arial"/>
          <w:bCs/>
          <w:iCs/>
          <w:color w:val="auto"/>
          <w:sz w:val="22"/>
          <w:szCs w:val="22"/>
          <w:lang w:val="pt-PT" w:eastAsia="en-US" w:bidi="ar-SA"/>
        </w:rPr>
      </w:pPr>
    </w:p>
    <w:p w14:paraId="1965399F">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.3.2 Deverá ser observado no momento da emissão do Documento Fiscal e na liquidação da despesa os dispositivos do Decreto Municipal nº 2.480/2023, referentes à retenção de Imposto de Renda na fonte e obrigações correlatas.</w:t>
      </w:r>
    </w:p>
    <w:p w14:paraId="4507339A">
      <w:pPr>
        <w:pStyle w:val="11"/>
        <w:jc w:val="both"/>
        <w:rPr>
          <w:rFonts w:ascii="Arial" w:hAnsi="Arial" w:eastAsia="Verdana" w:cs="Arial"/>
          <w:bCs/>
          <w:iCs/>
          <w:color w:val="auto"/>
          <w:sz w:val="22"/>
          <w:szCs w:val="22"/>
          <w:lang w:val="pt-PT" w:eastAsia="en-US" w:bidi="ar-SA"/>
        </w:rPr>
      </w:pPr>
    </w:p>
    <w:p w14:paraId="349F699F">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.4 Do pagamento da despesa:</w:t>
      </w:r>
    </w:p>
    <w:p w14:paraId="571543C6">
      <w:pPr>
        <w:pStyle w:val="11"/>
        <w:jc w:val="both"/>
        <w:rPr>
          <w:rFonts w:ascii="Arial" w:hAnsi="Arial" w:eastAsia="Verdana" w:cs="Arial"/>
          <w:bCs/>
          <w:iCs/>
          <w:color w:val="auto"/>
          <w:sz w:val="22"/>
          <w:szCs w:val="22"/>
          <w:lang w:val="pt-PT" w:eastAsia="en-US" w:bidi="ar-SA"/>
        </w:rPr>
      </w:pPr>
    </w:p>
    <w:p w14:paraId="3928820E">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.4.1 O pagamento será efetuado desde que as certidões listadas estejam válidas: Certidão Negativa de Débitos Trabalhistas, Fazenda Federal, FGTS, PGE – Dívida Ativa Estadual, Municipal – ISS e Dívida Ativa, Estadual – CND ICMS.</w:t>
      </w:r>
    </w:p>
    <w:p w14:paraId="6F0837E0">
      <w:pPr>
        <w:pStyle w:val="11"/>
        <w:jc w:val="both"/>
        <w:rPr>
          <w:rFonts w:ascii="Arial" w:hAnsi="Arial" w:eastAsia="Verdana" w:cs="Arial"/>
          <w:bCs/>
          <w:iCs/>
          <w:color w:val="auto"/>
          <w:sz w:val="22"/>
          <w:szCs w:val="22"/>
          <w:lang w:val="pt-PT" w:eastAsia="en-US" w:bidi="ar-SA"/>
        </w:rPr>
      </w:pPr>
    </w:p>
    <w:p w14:paraId="610F7ED0">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.4.2 A Nota Fiscal deverá conter identificação bancária completa (Banco, Agência, Conta Corrente) para permitir o pagamento.</w:t>
      </w:r>
    </w:p>
    <w:p w14:paraId="078B5585">
      <w:pPr>
        <w:pStyle w:val="11"/>
        <w:jc w:val="both"/>
        <w:rPr>
          <w:rFonts w:ascii="Arial" w:hAnsi="Arial" w:eastAsia="Verdana" w:cs="Arial"/>
          <w:bCs/>
          <w:iCs/>
          <w:color w:val="auto"/>
          <w:sz w:val="22"/>
          <w:szCs w:val="22"/>
          <w:lang w:val="pt-PT" w:eastAsia="en-US" w:bidi="ar-SA"/>
        </w:rPr>
      </w:pPr>
    </w:p>
    <w:p w14:paraId="3671D6BE">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.4.3 Em caso de rejeição da Nota Fiscal por erro ou incorreção, o prazo para pagamento será contado a partir da reapresentação correta.</w:t>
      </w:r>
    </w:p>
    <w:p w14:paraId="5FDC6EC6">
      <w:pPr>
        <w:pStyle w:val="11"/>
        <w:jc w:val="both"/>
        <w:rPr>
          <w:rFonts w:ascii="Arial" w:hAnsi="Arial" w:eastAsia="Verdana" w:cs="Arial"/>
          <w:bCs/>
          <w:iCs/>
          <w:color w:val="auto"/>
          <w:sz w:val="22"/>
          <w:szCs w:val="22"/>
          <w:lang w:val="pt-PT" w:eastAsia="en-US" w:bidi="ar-SA"/>
        </w:rPr>
      </w:pPr>
    </w:p>
    <w:p w14:paraId="7C9076F7">
      <w:pPr>
        <w:pStyle w:val="11"/>
        <w:jc w:val="both"/>
        <w:rPr>
          <w:rFonts w:ascii="Arial" w:hAnsi="Arial" w:eastAsia="Verdana" w:cs="Arial"/>
          <w:bCs/>
          <w:iCs/>
          <w:color w:val="auto"/>
          <w:sz w:val="22"/>
          <w:szCs w:val="22"/>
          <w:lang w:val="pt-PT" w:eastAsia="en-US" w:bidi="ar-SA"/>
        </w:rPr>
      </w:pPr>
      <w:r>
        <w:rPr>
          <w:rFonts w:hint="default" w:ascii="Arial" w:hAnsi="Arial" w:cs="Arial"/>
          <w:bCs/>
          <w:iCs/>
          <w:color w:val="auto"/>
          <w:sz w:val="22"/>
          <w:szCs w:val="22"/>
          <w:lang w:val="pt-BR" w:eastAsia="en-US" w:bidi="ar-SA"/>
        </w:rPr>
        <w:t>6</w:t>
      </w:r>
      <w:r>
        <w:rPr>
          <w:rFonts w:ascii="Arial" w:hAnsi="Arial" w:eastAsia="Verdana" w:cs="Arial"/>
          <w:bCs/>
          <w:iCs/>
          <w:color w:val="auto"/>
          <w:sz w:val="22"/>
          <w:szCs w:val="22"/>
          <w:lang w:val="pt-PT" w:eastAsia="en-US" w:bidi="ar-SA"/>
        </w:rPr>
        <w:t>.4.4</w:t>
      </w:r>
      <w:r>
        <w:rPr>
          <w:rFonts w:hint="default" w:ascii="Arial" w:hAnsi="Arial" w:cs="Arial"/>
          <w:bCs/>
          <w:iCs/>
          <w:color w:val="auto"/>
          <w:sz w:val="22"/>
          <w:szCs w:val="22"/>
          <w:lang w:val="pt-BR" w:eastAsia="en-US" w:bidi="ar-SA"/>
        </w:rPr>
        <w:t xml:space="preserve"> </w:t>
      </w:r>
      <w:r>
        <w:rPr>
          <w:rFonts w:ascii="Arial" w:hAnsi="Arial" w:eastAsia="Verdana" w:cs="Arial"/>
          <w:bCs/>
          <w:iCs/>
          <w:color w:val="auto"/>
          <w:sz w:val="22"/>
          <w:szCs w:val="22"/>
          <w:lang w:val="pt-PT" w:eastAsia="en-US" w:bidi="ar-SA"/>
        </w:rPr>
        <w:t>Consoante o art. 45 da Lei nº 9.784/1999, a Administração poderá reter o pagamento motivadamente em caso de risco iminente.</w:t>
      </w:r>
    </w:p>
    <w:p w14:paraId="2E720DC0">
      <w:pPr>
        <w:pStyle w:val="20"/>
        <w:spacing w:line="360" w:lineRule="auto"/>
        <w:ind w:left="0" w:leftChars="0" w:right="0" w:firstLine="0" w:firstLineChars="0"/>
        <w:jc w:val="both"/>
        <w:rPr>
          <w:rFonts w:ascii="Arial" w:hAnsi="Arial" w:eastAsia="Verdana" w:cs="Arial"/>
          <w:bCs/>
          <w:iCs/>
          <w:color w:val="auto"/>
          <w:sz w:val="22"/>
          <w:szCs w:val="22"/>
          <w:lang w:val="pt-PT" w:eastAsia="en-US" w:bidi="ar-SA"/>
        </w:rPr>
      </w:pPr>
      <w:r>
        <w:rPr>
          <w:rFonts w:hint="default" w:ascii="Arial" w:hAnsi="Arial" w:eastAsia="Verdana" w:cs="Arial"/>
          <w:bCs/>
          <w:iCs/>
          <w:color w:val="auto"/>
          <w:sz w:val="22"/>
          <w:szCs w:val="22"/>
          <w:lang w:val="pt-BR" w:eastAsia="en-US" w:bidi="ar-SA"/>
        </w:rPr>
        <w:t>6.5</w:t>
      </w:r>
      <w:r>
        <w:rPr>
          <w:rFonts w:ascii="Arial" w:hAnsi="Arial" w:eastAsia="Verdana" w:cs="Arial"/>
          <w:bCs/>
          <w:iCs/>
          <w:color w:val="auto"/>
          <w:sz w:val="22"/>
          <w:szCs w:val="22"/>
          <w:lang w:val="pt-PT" w:eastAsia="en-US" w:bidi="ar-SA"/>
        </w:rPr>
        <w:t xml:space="preserve">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14:paraId="56C71F14">
      <w:pPr>
        <w:pStyle w:val="20"/>
        <w:tabs>
          <w:tab w:val="left" w:pos="284"/>
        </w:tabs>
        <w:spacing w:line="276" w:lineRule="auto"/>
        <w:ind w:left="0"/>
        <w:jc w:val="both"/>
        <w:rPr>
          <w:rFonts w:ascii="Arial" w:hAnsi="Arial" w:cs="Arial" w:eastAsiaTheme="majorEastAsia"/>
          <w:b/>
          <w:bCs/>
          <w:lang w:val="pt-BR" w:eastAsia="pt-BR"/>
        </w:rPr>
      </w:pPr>
    </w:p>
    <w:p w14:paraId="184F736D">
      <w:pPr>
        <w:pStyle w:val="20"/>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14:paraId="15C04F03">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14:paraId="2AABCF34">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Após o interregno de um ano, e independentemente de pedido do contratado, os preços iniciais serão reajustados, mediante a aplicação, pelo contratante, </w:t>
      </w:r>
      <w:r>
        <w:rPr>
          <w:rFonts w:ascii="Arial" w:hAnsi="Arial" w:cs="Arial"/>
          <w:bCs/>
          <w:iCs/>
          <w:lang w:val="pt-BR"/>
        </w:rPr>
        <w:t>do Índice Nacional de Preços ao Consumidor Amplo (IPCA), instituído pelo Instituto Brasileiro de Geografia e Estatística (IBGE)</w:t>
      </w:r>
      <w:r>
        <w:rPr>
          <w:rFonts w:ascii="Arial" w:hAnsi="Arial" w:cs="Arial"/>
          <w:bCs/>
          <w:iCs/>
        </w:rPr>
        <w:t>, exclusivamente para as obrigações iniciadas e concluídas após a ocorrência da anualidade.</w:t>
      </w:r>
    </w:p>
    <w:p w14:paraId="63EFE983">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33E7119C">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1C5FFF20">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10E32C7B">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61622C11">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7EA144EA">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25806DBB">
      <w:pPr>
        <w:widowControl/>
        <w:tabs>
          <w:tab w:val="left" w:pos="426"/>
        </w:tabs>
        <w:autoSpaceDE/>
        <w:autoSpaceDN/>
        <w:spacing w:before="120" w:after="120" w:line="276" w:lineRule="auto"/>
        <w:jc w:val="both"/>
        <w:rPr>
          <w:rFonts w:ascii="Arial" w:hAnsi="Arial" w:cs="Arial"/>
          <w:bCs/>
          <w:i/>
          <w:color w:val="FF0000"/>
        </w:rPr>
      </w:pPr>
    </w:p>
    <w:p w14:paraId="3770E78F">
      <w:pPr>
        <w:pStyle w:val="20"/>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40F6455C">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3E0F9BA7">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074A252E">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464EC064">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3130CA9D">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02EC475D">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6D969387">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168CFFEE">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3B8E3944">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27E64A6">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16CCE812">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53B9A502">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8F80ABA">
      <w:pPr>
        <w:pStyle w:val="20"/>
        <w:widowControl/>
        <w:tabs>
          <w:tab w:val="left" w:pos="426"/>
        </w:tabs>
        <w:autoSpaceDE/>
        <w:autoSpaceDN/>
        <w:spacing w:before="120" w:after="120" w:line="276" w:lineRule="auto"/>
        <w:ind w:left="862"/>
        <w:jc w:val="both"/>
        <w:rPr>
          <w:rFonts w:ascii="Arial" w:hAnsi="Arial" w:cs="Arial"/>
          <w:bCs/>
          <w:iCs/>
          <w:lang w:val="pt-BR"/>
        </w:rPr>
      </w:pPr>
    </w:p>
    <w:p w14:paraId="0978E512">
      <w:pPr>
        <w:pStyle w:val="20"/>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25184DD5">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43316905">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7EEAF449">
      <w:pPr>
        <w:pStyle w:val="20"/>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0"/>
          <w:rFonts w:ascii="Arial" w:hAnsi="Arial" w:cs="Arial"/>
        </w:rPr>
        <w:t>Lei nº 8.078, de 1990</w:t>
      </w:r>
      <w:r>
        <w:rPr>
          <w:rStyle w:val="10"/>
          <w:rFonts w:ascii="Arial" w:hAnsi="Arial" w:cs="Arial"/>
        </w:rPr>
        <w:fldChar w:fldCharType="end"/>
      </w:r>
      <w:r>
        <w:rPr>
          <w:rFonts w:ascii="Arial" w:hAnsi="Arial" w:cs="Arial"/>
        </w:rPr>
        <w:t>);</w:t>
      </w:r>
    </w:p>
    <w:p w14:paraId="51F50642">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14:paraId="1DED9F35">
      <w:pPr>
        <w:pStyle w:val="20"/>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10"/>
          <w:rFonts w:ascii="Arial" w:hAnsi="Arial" w:cs="Arial"/>
        </w:rPr>
        <w:t>art. 137, II, da Lei n.º 14.133, de 2021</w:t>
      </w:r>
      <w:r>
        <w:rPr>
          <w:rStyle w:val="10"/>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14:paraId="7BF82A9E">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14B6651">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4F622A7">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CEF13DF">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14:paraId="24166A16">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14:paraId="12F26205">
      <w:pPr>
        <w:pStyle w:val="20"/>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22C2046C">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14:paraId="6B49B3B0">
      <w:pPr>
        <w:pStyle w:val="46"/>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0"/>
          <w:sz w:val="22"/>
          <w:szCs w:val="22"/>
        </w:rPr>
        <w:t>art. 116, da Lei n.º 14.133, de 2021</w:t>
      </w:r>
      <w:r>
        <w:rPr>
          <w:rStyle w:val="10"/>
          <w:sz w:val="22"/>
          <w:szCs w:val="22"/>
        </w:rPr>
        <w:fldChar w:fldCharType="end"/>
      </w:r>
      <w:r>
        <w:rPr>
          <w:sz w:val="22"/>
          <w:szCs w:val="22"/>
        </w:rPr>
        <w:t>);</w:t>
      </w:r>
    </w:p>
    <w:p w14:paraId="021FCF5D">
      <w:pPr>
        <w:pStyle w:val="46"/>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0"/>
          <w:sz w:val="22"/>
          <w:szCs w:val="22"/>
        </w:rPr>
        <w:t>art. 116, parágrafo único, da Lei n.º 14.133, de 2021</w:t>
      </w:r>
      <w:r>
        <w:rPr>
          <w:rStyle w:val="10"/>
          <w:sz w:val="22"/>
          <w:szCs w:val="22"/>
        </w:rPr>
        <w:fldChar w:fldCharType="end"/>
      </w:r>
      <w:r>
        <w:rPr>
          <w:sz w:val="22"/>
          <w:szCs w:val="22"/>
        </w:rPr>
        <w:t>);</w:t>
      </w:r>
    </w:p>
    <w:p w14:paraId="00E09E73">
      <w:pPr>
        <w:pStyle w:val="46"/>
        <w:numPr>
          <w:ilvl w:val="1"/>
          <w:numId w:val="3"/>
        </w:numPr>
        <w:rPr>
          <w:sz w:val="22"/>
          <w:szCs w:val="22"/>
        </w:rPr>
      </w:pPr>
      <w:r>
        <w:rPr>
          <w:sz w:val="22"/>
          <w:szCs w:val="22"/>
        </w:rPr>
        <w:t xml:space="preserve">Guardar sigilo sobre todas as informações obtidas em decorrência do cumprimento do contrato; </w:t>
      </w:r>
    </w:p>
    <w:p w14:paraId="1CFE10CD">
      <w:pPr>
        <w:pStyle w:val="46"/>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10"/>
          <w:sz w:val="22"/>
          <w:szCs w:val="22"/>
        </w:rPr>
        <w:t>art. 124, II, d, da Lei nº 14.133, de 2021.</w:t>
      </w:r>
      <w:r>
        <w:rPr>
          <w:rStyle w:val="10"/>
          <w:sz w:val="22"/>
          <w:szCs w:val="22"/>
        </w:rPr>
        <w:fldChar w:fldCharType="end"/>
      </w:r>
    </w:p>
    <w:p w14:paraId="2A9B12A2">
      <w:pPr>
        <w:pStyle w:val="46"/>
        <w:numPr>
          <w:ilvl w:val="1"/>
          <w:numId w:val="3"/>
        </w:numPr>
        <w:rPr>
          <w:sz w:val="22"/>
          <w:szCs w:val="22"/>
        </w:rPr>
      </w:pPr>
      <w:r>
        <w:rPr>
          <w:sz w:val="22"/>
          <w:szCs w:val="22"/>
        </w:rPr>
        <w:t>Cumprir, além dos postulados legais vigentes de âmbito federal, estadual ou municipal, as normas de segurança do contratante.</w:t>
      </w:r>
    </w:p>
    <w:p w14:paraId="044B11C4">
      <w:pPr>
        <w:pStyle w:val="20"/>
        <w:tabs>
          <w:tab w:val="left" w:pos="284"/>
        </w:tabs>
        <w:spacing w:line="276" w:lineRule="auto"/>
        <w:ind w:left="0"/>
        <w:rPr>
          <w:rFonts w:ascii="Arial" w:hAnsi="Arial" w:cs="Arial" w:eastAsiaTheme="majorEastAsia"/>
          <w:b/>
          <w:bCs/>
          <w:lang w:val="pt-BR" w:eastAsia="pt-BR"/>
        </w:rPr>
      </w:pPr>
    </w:p>
    <w:p w14:paraId="17811C0A">
      <w:pPr>
        <w:pStyle w:val="20"/>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0EB77953">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14:paraId="2E150EEF">
      <w:pPr>
        <w:pStyle w:val="20"/>
        <w:widowControl/>
        <w:tabs>
          <w:tab w:val="left" w:pos="426"/>
        </w:tabs>
        <w:autoSpaceDE/>
        <w:autoSpaceDN/>
        <w:spacing w:before="120" w:after="120" w:line="276" w:lineRule="auto"/>
        <w:ind w:left="0"/>
        <w:jc w:val="both"/>
        <w:rPr>
          <w:rFonts w:ascii="Arial" w:hAnsi="Arial" w:cs="Arial"/>
          <w:bCs/>
          <w:i/>
          <w:color w:val="FF0000"/>
          <w:lang w:val="pt-BR"/>
        </w:rPr>
      </w:pPr>
    </w:p>
    <w:p w14:paraId="65B09EA5">
      <w:pPr>
        <w:pStyle w:val="20"/>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014B54BB">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6C1D3592">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0FB231FB">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204ABA18">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4380C164">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4FCCEFA4">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252DD21A">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5C3AA6D9">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1962C5B4">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10"/>
          <w:rFonts w:ascii="Arial" w:hAnsi="Arial" w:eastAsia="Arial" w:cs="Arial"/>
        </w:rPr>
        <w:t>art. 5º da Lei nº 12.846, de 1º de agosto de 2013</w:t>
      </w:r>
      <w:r>
        <w:rPr>
          <w:rStyle w:val="10"/>
          <w:rFonts w:ascii="Arial" w:hAnsi="Arial" w:eastAsia="Arial" w:cs="Arial"/>
        </w:rPr>
        <w:fldChar w:fldCharType="end"/>
      </w:r>
      <w:r>
        <w:rPr>
          <w:rFonts w:ascii="Arial" w:hAnsi="Arial" w:eastAsia="Arial" w:cs="Arial"/>
        </w:rPr>
        <w:t>.</w:t>
      </w:r>
    </w:p>
    <w:p w14:paraId="1AEADDD4">
      <w:pPr>
        <w:pStyle w:val="20"/>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11F88755">
      <w:pPr>
        <w:pStyle w:val="20"/>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10"/>
          <w:rFonts w:ascii="Arial" w:hAnsi="Arial" w:eastAsia="Arial" w:cs="Arial"/>
        </w:rPr>
        <w:t xml:space="preserve">art. 156, §2º, da </w:t>
      </w:r>
      <w:bookmarkStart w:id="3" w:name="_Hlk114504069"/>
      <w:r>
        <w:rPr>
          <w:rStyle w:val="10"/>
          <w:rFonts w:ascii="Arial" w:hAnsi="Arial" w:eastAsia="Arial" w:cs="Arial"/>
        </w:rPr>
        <w:t>Lei nº 14.133, de 2021</w:t>
      </w:r>
      <w:bookmarkEnd w:id="3"/>
      <w:r>
        <w:rPr>
          <w:rStyle w:val="10"/>
          <w:rFonts w:ascii="Arial" w:hAnsi="Arial" w:eastAsia="Arial" w:cs="Arial"/>
        </w:rPr>
        <w:fldChar w:fldCharType="end"/>
      </w:r>
      <w:r>
        <w:rPr>
          <w:rFonts w:ascii="Arial" w:hAnsi="Arial" w:eastAsia="Arial" w:cs="Arial"/>
        </w:rPr>
        <w:t>);</w:t>
      </w:r>
    </w:p>
    <w:p w14:paraId="257FDAA7">
      <w:pPr>
        <w:pStyle w:val="20"/>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10"/>
          <w:rFonts w:ascii="Arial" w:hAnsi="Arial" w:eastAsia="Arial" w:cs="Arial"/>
        </w:rPr>
        <w:t>art. 156, § 4º, da Lei nº 14.133, de 2021</w:t>
      </w:r>
      <w:r>
        <w:rPr>
          <w:rStyle w:val="10"/>
          <w:rFonts w:ascii="Arial" w:hAnsi="Arial" w:eastAsia="Arial" w:cs="Arial"/>
        </w:rPr>
        <w:fldChar w:fldCharType="end"/>
      </w:r>
      <w:r>
        <w:rPr>
          <w:rFonts w:ascii="Arial" w:hAnsi="Arial" w:eastAsia="Arial" w:cs="Arial"/>
        </w:rPr>
        <w:t>);</w:t>
      </w:r>
    </w:p>
    <w:p w14:paraId="3F790931">
      <w:pPr>
        <w:pStyle w:val="20"/>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10"/>
          <w:rFonts w:ascii="Arial" w:hAnsi="Arial" w:eastAsia="Arial" w:cs="Arial"/>
        </w:rPr>
        <w:t>art. 156, §5º, da Lei nº 14.133, de 2021</w:t>
      </w:r>
      <w:r>
        <w:rPr>
          <w:rStyle w:val="10"/>
          <w:rFonts w:ascii="Arial" w:hAnsi="Arial" w:eastAsia="Arial" w:cs="Arial"/>
        </w:rPr>
        <w:fldChar w:fldCharType="end"/>
      </w:r>
      <w:r>
        <w:rPr>
          <w:rFonts w:ascii="Arial" w:hAnsi="Arial" w:eastAsia="Arial" w:cs="Arial"/>
        </w:rPr>
        <w:t>).</w:t>
      </w:r>
    </w:p>
    <w:p w14:paraId="1E1B7956">
      <w:pPr>
        <w:pStyle w:val="20"/>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0716A1F6">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04C4D241">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00D5A1B0">
      <w:pPr>
        <w:pStyle w:val="20"/>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28DF3D25">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14:paraId="5654B847">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14:paraId="26B0DA89">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14:paraId="01FD420C">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14:paraId="75D51B43">
      <w:pPr>
        <w:pStyle w:val="20"/>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14:paraId="650DE68C">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10"/>
          <w:rFonts w:ascii="Arial" w:hAnsi="Arial" w:cs="Arial"/>
        </w:rPr>
        <w:t>art. 156, §9º, da Lei nº 14.133, de 2021</w:t>
      </w:r>
      <w:r>
        <w:rPr>
          <w:rStyle w:val="10"/>
          <w:rFonts w:ascii="Arial" w:hAnsi="Arial" w:cs="Arial"/>
        </w:rPr>
        <w:fldChar w:fldCharType="end"/>
      </w:r>
      <w:r>
        <w:rPr>
          <w:rFonts w:ascii="Arial" w:hAnsi="Arial" w:cs="Arial"/>
        </w:rPr>
        <w:t>)</w:t>
      </w:r>
    </w:p>
    <w:p w14:paraId="0D40CF90">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10"/>
          <w:rFonts w:ascii="Arial" w:hAnsi="Arial" w:cs="Arial"/>
        </w:rPr>
        <w:t>art. 156, §7º, da Lei nº 14.133, de 2021</w:t>
      </w:r>
      <w:r>
        <w:rPr>
          <w:rStyle w:val="10"/>
          <w:rFonts w:ascii="Arial" w:hAnsi="Arial" w:cs="Arial"/>
        </w:rPr>
        <w:fldChar w:fldCharType="end"/>
      </w:r>
      <w:r>
        <w:rPr>
          <w:rFonts w:ascii="Arial" w:hAnsi="Arial" w:cs="Arial"/>
        </w:rPr>
        <w:t>).</w:t>
      </w:r>
    </w:p>
    <w:p w14:paraId="6BBAFDBF">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10"/>
          <w:rFonts w:ascii="Arial" w:hAnsi="Arial" w:cs="Arial"/>
        </w:rPr>
        <w:t>art. 157, da Lei nº 14.133, de 2021</w:t>
      </w:r>
      <w:r>
        <w:rPr>
          <w:rStyle w:val="10"/>
          <w:rFonts w:ascii="Arial" w:hAnsi="Arial" w:cs="Arial"/>
        </w:rPr>
        <w:fldChar w:fldCharType="end"/>
      </w:r>
      <w:r>
        <w:rPr>
          <w:rFonts w:ascii="Arial" w:hAnsi="Arial" w:cs="Arial"/>
        </w:rPr>
        <w:t>)</w:t>
      </w:r>
    </w:p>
    <w:p w14:paraId="4F2A0A5B">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10"/>
          <w:rFonts w:ascii="Arial" w:hAnsi="Arial" w:cs="Arial"/>
        </w:rPr>
        <w:t>art. 156, §8º, da Lei nº 14.133, de 2021</w:t>
      </w:r>
      <w:r>
        <w:rPr>
          <w:rStyle w:val="10"/>
          <w:rFonts w:ascii="Arial" w:hAnsi="Arial" w:cs="Arial"/>
        </w:rPr>
        <w:fldChar w:fldCharType="end"/>
      </w:r>
      <w:r>
        <w:rPr>
          <w:rFonts w:ascii="Arial" w:hAnsi="Arial" w:cs="Arial"/>
        </w:rPr>
        <w:t>).</w:t>
      </w:r>
    </w:p>
    <w:p w14:paraId="3B06FF4F">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0D579524">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10"/>
          <w:rFonts w:ascii="Arial" w:hAnsi="Arial" w:cs="Arial"/>
        </w:rPr>
        <w:t>art. 158 da Lei nº 14.133, de 2021</w:t>
      </w:r>
      <w:r>
        <w:rPr>
          <w:rStyle w:val="10"/>
          <w:rFonts w:ascii="Arial" w:hAnsi="Arial" w:cs="Arial"/>
        </w:rPr>
        <w:fldChar w:fldCharType="end"/>
      </w:r>
      <w:r>
        <w:rPr>
          <w:rFonts w:ascii="Arial" w:hAnsi="Arial" w:cs="Arial"/>
        </w:rPr>
        <w:t>, para as penalidades de impedimento de licitar e contratar e de declaração de inidoneidade para licitar ou contratar.</w:t>
      </w:r>
    </w:p>
    <w:p w14:paraId="59ED6E9A">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10"/>
          <w:rFonts w:ascii="Arial" w:hAnsi="Arial" w:cs="Arial"/>
        </w:rPr>
        <w:t>art. 156, §1º, da Lei nº 14.133, de 2021</w:t>
      </w:r>
      <w:r>
        <w:rPr>
          <w:rStyle w:val="10"/>
          <w:rFonts w:ascii="Arial" w:hAnsi="Arial" w:cs="Arial"/>
        </w:rPr>
        <w:fldChar w:fldCharType="end"/>
      </w:r>
      <w:r>
        <w:rPr>
          <w:rFonts w:ascii="Arial" w:hAnsi="Arial" w:cs="Arial"/>
        </w:rPr>
        <w:t>):</w:t>
      </w:r>
    </w:p>
    <w:p w14:paraId="6595A41E">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3613E2C4">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2BB856B7">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7F6E04F2">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78EB4EC0">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54FE0B1B">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10"/>
          <w:rFonts w:ascii="Arial" w:hAnsi="Arial" w:cs="Arial"/>
        </w:rPr>
        <w:t>Lei nº 14.133, de 2021</w:t>
      </w:r>
      <w:r>
        <w:rPr>
          <w:rStyle w:val="10"/>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10"/>
          <w:rFonts w:ascii="Arial" w:hAnsi="Arial" w:cs="Arial"/>
        </w:rPr>
        <w:t>Lei nº 12.846, de 2013</w:t>
      </w:r>
      <w:r>
        <w:rPr>
          <w:rStyle w:val="10"/>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10"/>
          <w:rFonts w:ascii="Arial" w:hAnsi="Arial" w:cs="Arial"/>
        </w:rPr>
        <w:t>art. 159</w:t>
      </w:r>
      <w:r>
        <w:rPr>
          <w:rStyle w:val="10"/>
          <w:rFonts w:ascii="Arial" w:hAnsi="Arial" w:cs="Arial"/>
        </w:rPr>
        <w:fldChar w:fldCharType="end"/>
      </w:r>
      <w:r>
        <w:rPr>
          <w:rFonts w:ascii="Arial" w:hAnsi="Arial" w:cs="Arial"/>
        </w:rPr>
        <w:t>).</w:t>
      </w:r>
    </w:p>
    <w:p w14:paraId="39811675">
      <w:pPr>
        <w:pStyle w:val="20"/>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10"/>
          <w:rFonts w:ascii="Arial" w:hAnsi="Arial" w:cs="Arial"/>
        </w:rPr>
        <w:t>art. 160, da Lei nº 14.133, de 2021</w:t>
      </w:r>
      <w:r>
        <w:rPr>
          <w:rStyle w:val="10"/>
          <w:rFonts w:ascii="Arial" w:hAnsi="Arial" w:cs="Arial"/>
        </w:rPr>
        <w:fldChar w:fldCharType="end"/>
      </w:r>
      <w:r>
        <w:rPr>
          <w:rFonts w:ascii="Arial" w:hAnsi="Arial" w:cs="Arial"/>
        </w:rPr>
        <w:t>).</w:t>
      </w:r>
    </w:p>
    <w:p w14:paraId="3599D883">
      <w:pPr>
        <w:pStyle w:val="20"/>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10"/>
          <w:rFonts w:ascii="Arial" w:hAnsi="Arial" w:cs="Arial"/>
        </w:rPr>
        <w:t>Art. 161, da Lei nº 14.133, de 2021</w:t>
      </w:r>
      <w:r>
        <w:rPr>
          <w:rStyle w:val="10"/>
          <w:rFonts w:ascii="Arial" w:hAnsi="Arial" w:cs="Arial"/>
        </w:rPr>
        <w:fldChar w:fldCharType="end"/>
      </w:r>
      <w:r>
        <w:rPr>
          <w:rFonts w:ascii="Arial" w:hAnsi="Arial" w:cs="Arial"/>
        </w:rPr>
        <w:t>).</w:t>
      </w:r>
    </w:p>
    <w:p w14:paraId="4EA89977">
      <w:pPr>
        <w:pStyle w:val="20"/>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10"/>
          <w:rFonts w:ascii="Arial" w:hAnsi="Arial" w:cs="Arial"/>
        </w:rPr>
        <w:t>art. 163 da Lei nº 14.133/21</w:t>
      </w:r>
      <w:r>
        <w:rPr>
          <w:rStyle w:val="10"/>
          <w:rFonts w:ascii="Arial" w:hAnsi="Arial" w:cs="Arial"/>
        </w:rPr>
        <w:fldChar w:fldCharType="end"/>
      </w:r>
      <w:r>
        <w:rPr>
          <w:rFonts w:ascii="Arial" w:hAnsi="Arial" w:cs="Arial"/>
        </w:rPr>
        <w:t>.</w:t>
      </w:r>
    </w:p>
    <w:p w14:paraId="32678AF0">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10"/>
          <w:rFonts w:ascii="Arial" w:hAnsi="Arial" w:cs="Arial"/>
        </w:rPr>
        <w:t>Normativa SEGES/ME nº 26, de 13 de abril de 2022</w:t>
      </w:r>
      <w:r>
        <w:rPr>
          <w:rStyle w:val="10"/>
          <w:rFonts w:ascii="Arial" w:hAnsi="Arial" w:cs="Arial"/>
        </w:rPr>
        <w:fldChar w:fldCharType="end"/>
      </w:r>
      <w:r>
        <w:rPr>
          <w:rFonts w:ascii="Arial" w:hAnsi="Arial" w:cs="Arial"/>
        </w:rPr>
        <w:t xml:space="preserve">. </w:t>
      </w:r>
    </w:p>
    <w:p w14:paraId="0FA661C7">
      <w:pPr>
        <w:pStyle w:val="35"/>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10"/>
          <w:rFonts w:ascii="Arial" w:hAnsi="Arial" w:cs="Arial"/>
          <w:sz w:val="22"/>
          <w:szCs w:val="22"/>
        </w:rPr>
        <w:t>art. 92, XIX</w:t>
      </w:r>
      <w:r>
        <w:rPr>
          <w:rStyle w:val="10"/>
          <w:rFonts w:ascii="Arial" w:hAnsi="Arial" w:cs="Arial"/>
          <w:sz w:val="22"/>
          <w:szCs w:val="22"/>
        </w:rPr>
        <w:fldChar w:fldCharType="end"/>
      </w:r>
      <w:r>
        <w:rPr>
          <w:rFonts w:ascii="Arial" w:hAnsi="Arial" w:cs="Arial"/>
          <w:sz w:val="22"/>
          <w:szCs w:val="22"/>
        </w:rPr>
        <w:t xml:space="preserve">) </w:t>
      </w:r>
    </w:p>
    <w:p w14:paraId="3AB27246">
      <w:pPr>
        <w:pStyle w:val="20"/>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14:paraId="366A8B72">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2D23E3D2">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14:paraId="20087F9F">
      <w:pPr>
        <w:pStyle w:val="20"/>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14:paraId="04451D94">
      <w:pPr>
        <w:pStyle w:val="20"/>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0F3E4EB6">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10"/>
          <w:rFonts w:ascii="Arial" w:hAnsi="Arial" w:cs="Arial"/>
        </w:rPr>
        <w:t>artigo 137 da Lei nº 14.133/21</w:t>
      </w:r>
      <w:r>
        <w:rPr>
          <w:rStyle w:val="10"/>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6391B325">
      <w:pPr>
        <w:pStyle w:val="20"/>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10"/>
          <w:rFonts w:ascii="Arial" w:hAnsi="Arial" w:cs="Arial"/>
        </w:rPr>
        <w:t>artigos 138 e 139</w:t>
      </w:r>
      <w:r>
        <w:rPr>
          <w:rStyle w:val="10"/>
          <w:rFonts w:ascii="Arial" w:hAnsi="Arial" w:cs="Arial"/>
        </w:rPr>
        <w:fldChar w:fldCharType="end"/>
      </w:r>
      <w:r>
        <w:rPr>
          <w:rFonts w:ascii="Arial" w:hAnsi="Arial" w:cs="Arial"/>
        </w:rPr>
        <w:t xml:space="preserve"> da mesma Lei.</w:t>
      </w:r>
    </w:p>
    <w:p w14:paraId="103E121C">
      <w:pPr>
        <w:pStyle w:val="20"/>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6CFC5429">
      <w:pPr>
        <w:pStyle w:val="20"/>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5DBD1991">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14:paraId="71668098">
      <w:pPr>
        <w:pStyle w:val="20"/>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14:paraId="4D2A8BB4">
      <w:pPr>
        <w:pStyle w:val="20"/>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14:paraId="7F5C0185">
      <w:pPr>
        <w:pStyle w:val="20"/>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14:paraId="35B948BB">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10"/>
          <w:rFonts w:ascii="Arial" w:hAnsi="Arial" w:cs="Arial"/>
        </w:rPr>
        <w:t xml:space="preserve">art. 131, </w:t>
      </w:r>
      <w:r>
        <w:rPr>
          <w:rStyle w:val="10"/>
          <w:rFonts w:ascii="Arial" w:hAnsi="Arial" w:cs="Arial"/>
          <w:i/>
          <w:iCs/>
        </w:rPr>
        <w:t xml:space="preserve">caput, </w:t>
      </w:r>
      <w:r>
        <w:rPr>
          <w:rStyle w:val="10"/>
          <w:rFonts w:ascii="Arial" w:hAnsi="Arial" w:cs="Arial"/>
        </w:rPr>
        <w:t>da Lei n.º 14.133, de 2021).</w:t>
      </w:r>
      <w:r>
        <w:rPr>
          <w:rStyle w:val="10"/>
          <w:rFonts w:ascii="Arial" w:hAnsi="Arial" w:cs="Arial"/>
        </w:rPr>
        <w:fldChar w:fldCharType="end"/>
      </w:r>
      <w:r>
        <w:rPr>
          <w:rFonts w:ascii="Arial" w:hAnsi="Arial" w:cs="Arial"/>
        </w:rPr>
        <w:t xml:space="preserve"> </w:t>
      </w:r>
    </w:p>
    <w:p w14:paraId="2DF006E7">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0E3CC94">
      <w:pPr>
        <w:pStyle w:val="35"/>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10"/>
          <w:rFonts w:ascii="Arial" w:hAnsi="Arial" w:cs="Arial"/>
          <w:sz w:val="22"/>
          <w:szCs w:val="22"/>
        </w:rPr>
        <w:t>art. 92, VIII</w:t>
      </w:r>
      <w:r>
        <w:rPr>
          <w:rStyle w:val="10"/>
          <w:rFonts w:ascii="Arial" w:hAnsi="Arial" w:cs="Arial"/>
          <w:sz w:val="22"/>
          <w:szCs w:val="22"/>
        </w:rPr>
        <w:fldChar w:fldCharType="end"/>
      </w:r>
      <w:r>
        <w:rPr>
          <w:rFonts w:ascii="Arial" w:hAnsi="Arial" w:cs="Arial"/>
          <w:sz w:val="22"/>
          <w:szCs w:val="22"/>
        </w:rPr>
        <w:t>)</w:t>
      </w:r>
    </w:p>
    <w:p w14:paraId="0473BB9A">
      <w:pPr>
        <w:pStyle w:val="62"/>
        <w:spacing w:line="276" w:lineRule="auto"/>
        <w:jc w:val="both"/>
        <w:rPr>
          <w:rFonts w:ascii="Arial" w:hAnsi="Arial" w:eastAsia="Verdana" w:cs="Arial"/>
          <w:color w:val="auto"/>
          <w:sz w:val="22"/>
          <w:szCs w:val="22"/>
          <w:lang w:val="pt-PT" w:eastAsia="en-US" w:bidi="ar-SA"/>
        </w:rPr>
      </w:pPr>
    </w:p>
    <w:p w14:paraId="02A2078D">
      <w:pPr>
        <w:pStyle w:val="62"/>
        <w:spacing w:line="276" w:lineRule="auto"/>
        <w:jc w:val="both"/>
        <w:rPr>
          <w:rFonts w:ascii="Arial" w:hAnsi="Arial" w:eastAsia="Verdana" w:cs="Arial"/>
          <w:color w:val="auto"/>
          <w:sz w:val="22"/>
          <w:szCs w:val="22"/>
          <w:lang w:val="pt-PT" w:eastAsia="en-US" w:bidi="ar-SA"/>
        </w:rPr>
      </w:pPr>
      <w:r>
        <w:rPr>
          <w:rFonts w:hint="default" w:ascii="Arial" w:hAnsi="Arial" w:eastAsia="Verdana" w:cs="Arial"/>
          <w:color w:val="auto"/>
          <w:sz w:val="22"/>
          <w:szCs w:val="22"/>
          <w:lang w:val="pt-BR" w:eastAsia="en-US" w:bidi="ar-SA"/>
        </w:rPr>
        <w:t xml:space="preserve">13.1 </w:t>
      </w:r>
      <w:r>
        <w:rPr>
          <w:rFonts w:ascii="Arial" w:hAnsi="Arial" w:eastAsia="Verdana" w:cs="Arial"/>
          <w:color w:val="auto"/>
          <w:sz w:val="22"/>
          <w:szCs w:val="22"/>
          <w:lang w:val="pt-PT" w:eastAsia="en-US" w:bidi="ar-SA"/>
        </w:rPr>
        <w:t>As despesas decorrentes da presente contratação correrão à conta de recursos específicos consignados no Orçamento do Município.</w:t>
      </w:r>
    </w:p>
    <w:p w14:paraId="6113DE64">
      <w:pPr>
        <w:pStyle w:val="62"/>
        <w:spacing w:line="276" w:lineRule="auto"/>
        <w:jc w:val="both"/>
        <w:rPr>
          <w:rFonts w:ascii="Arial" w:hAnsi="Arial" w:eastAsia="Verdana" w:cs="Arial"/>
          <w:color w:val="auto"/>
          <w:sz w:val="22"/>
          <w:szCs w:val="22"/>
          <w:lang w:val="pt-PT" w:eastAsia="en-US" w:bidi="ar-SA"/>
        </w:rPr>
      </w:pPr>
      <w:r>
        <w:rPr>
          <w:rFonts w:ascii="Arial" w:hAnsi="Arial" w:eastAsia="Verdana" w:cs="Arial"/>
          <w:color w:val="auto"/>
          <w:sz w:val="22"/>
          <w:szCs w:val="22"/>
          <w:lang w:val="pt-PT" w:eastAsia="en-US" w:bidi="ar-SA"/>
        </w:rPr>
        <w:t>1</w:t>
      </w:r>
      <w:r>
        <w:rPr>
          <w:rFonts w:hint="default" w:ascii="Arial" w:hAnsi="Arial" w:eastAsia="Verdana" w:cs="Arial"/>
          <w:color w:val="auto"/>
          <w:sz w:val="22"/>
          <w:szCs w:val="22"/>
          <w:lang w:val="pt-BR" w:eastAsia="en-US" w:bidi="ar-SA"/>
        </w:rPr>
        <w:t>3</w:t>
      </w:r>
      <w:r>
        <w:rPr>
          <w:rFonts w:ascii="Arial" w:hAnsi="Arial" w:eastAsia="Verdana" w:cs="Arial"/>
          <w:color w:val="auto"/>
          <w:sz w:val="22"/>
          <w:szCs w:val="22"/>
          <w:lang w:val="pt-PT" w:eastAsia="en-US" w:bidi="ar-SA"/>
        </w:rPr>
        <w:t>.</w:t>
      </w:r>
      <w:r>
        <w:rPr>
          <w:rFonts w:hint="default" w:ascii="Arial" w:hAnsi="Arial" w:eastAsia="Verdana" w:cs="Arial"/>
          <w:color w:val="auto"/>
          <w:sz w:val="22"/>
          <w:szCs w:val="22"/>
          <w:lang w:val="pt-BR" w:eastAsia="en-US" w:bidi="ar-SA"/>
        </w:rPr>
        <w:t xml:space="preserve">2 </w:t>
      </w:r>
      <w:r>
        <w:rPr>
          <w:rFonts w:ascii="Arial" w:hAnsi="Arial" w:eastAsia="Verdana" w:cs="Arial"/>
          <w:color w:val="auto"/>
          <w:sz w:val="22"/>
          <w:szCs w:val="22"/>
          <w:lang w:val="pt-PT" w:eastAsia="en-US" w:bidi="ar-SA"/>
        </w:rPr>
        <w:t>A contratação será atendida pela seguinte dotação:</w:t>
      </w:r>
    </w:p>
    <w:p w14:paraId="1463104E">
      <w:pPr>
        <w:pStyle w:val="62"/>
        <w:spacing w:line="276" w:lineRule="auto"/>
        <w:jc w:val="both"/>
        <w:rPr>
          <w:rFonts w:ascii="Arial" w:hAnsi="Arial" w:eastAsia="Verdana" w:cs="Arial"/>
          <w:color w:val="auto"/>
          <w:sz w:val="22"/>
          <w:szCs w:val="22"/>
          <w:lang w:val="pt-PT" w:eastAsia="en-US" w:bidi="ar-SA"/>
        </w:rPr>
      </w:pPr>
    </w:p>
    <w:tbl>
      <w:tblPr>
        <w:tblStyle w:val="6"/>
        <w:tblW w:w="0" w:type="auto"/>
        <w:tblInd w:w="35" w:type="dxa"/>
        <w:tblLayout w:type="fixed"/>
        <w:tblCellMar>
          <w:top w:w="0" w:type="dxa"/>
          <w:left w:w="21" w:type="dxa"/>
          <w:bottom w:w="0" w:type="dxa"/>
          <w:right w:w="108" w:type="dxa"/>
        </w:tblCellMar>
      </w:tblPr>
      <w:tblGrid>
        <w:gridCol w:w="4535"/>
        <w:gridCol w:w="4535"/>
      </w:tblGrid>
      <w:tr w14:paraId="7E366726">
        <w:tblPrEx>
          <w:tblCellMar>
            <w:top w:w="0" w:type="dxa"/>
            <w:left w:w="21" w:type="dxa"/>
            <w:bottom w:w="0" w:type="dxa"/>
            <w:right w:w="108" w:type="dxa"/>
          </w:tblCellMar>
        </w:tblPrEx>
        <w:tc>
          <w:tcPr>
            <w:tcW w:w="4535" w:type="dxa"/>
            <w:tcBorders>
              <w:top w:val="single" w:color="000000" w:sz="4" w:space="0"/>
              <w:left w:val="single" w:color="000000" w:sz="4" w:space="0"/>
              <w:bottom w:val="single" w:color="000000" w:sz="4" w:space="0"/>
            </w:tcBorders>
            <w:noWrap w:val="0"/>
            <w:vAlign w:val="top"/>
          </w:tcPr>
          <w:p w14:paraId="7A0E484C">
            <w:pPr>
              <w:pStyle w:val="62"/>
              <w:widowControl w:val="0"/>
              <w:jc w:val="both"/>
              <w:rPr>
                <w:rFonts w:ascii="Arial" w:hAnsi="Arial" w:eastAsia="Verdana" w:cs="Arial"/>
                <w:color w:val="auto"/>
                <w:sz w:val="22"/>
                <w:szCs w:val="22"/>
                <w:lang w:val="pt-PT" w:eastAsia="en-US" w:bidi="ar-SA"/>
              </w:rPr>
            </w:pPr>
            <w:r>
              <w:rPr>
                <w:rFonts w:ascii="Arial" w:hAnsi="Arial" w:eastAsia="Verdana" w:cs="Arial"/>
                <w:color w:val="auto"/>
                <w:sz w:val="22"/>
                <w:szCs w:val="22"/>
                <w:lang w:val="pt-PT" w:eastAsia="en-US" w:bidi="ar-SA"/>
              </w:rPr>
              <w:t>Órgão/Unidade Orçamentária:</w:t>
            </w:r>
          </w:p>
        </w:tc>
        <w:tc>
          <w:tcPr>
            <w:tcW w:w="4535" w:type="dxa"/>
            <w:tcBorders>
              <w:top w:val="single" w:color="000000" w:sz="4" w:space="0"/>
              <w:left w:val="single" w:color="000000" w:sz="4" w:space="0"/>
              <w:bottom w:val="single" w:color="000000" w:sz="4" w:space="0"/>
              <w:right w:val="single" w:color="000000" w:sz="4" w:space="0"/>
            </w:tcBorders>
            <w:noWrap w:val="0"/>
            <w:vAlign w:val="top"/>
          </w:tcPr>
          <w:p w14:paraId="55B0D44B">
            <w:pPr>
              <w:pStyle w:val="62"/>
              <w:widowControl w:val="0"/>
              <w:jc w:val="both"/>
              <w:rPr>
                <w:rFonts w:ascii="Arial" w:hAnsi="Arial" w:eastAsia="Verdana" w:cs="Arial"/>
                <w:color w:val="auto"/>
                <w:sz w:val="22"/>
                <w:szCs w:val="22"/>
                <w:lang w:val="pt-PT" w:eastAsia="en-US" w:bidi="ar-SA"/>
              </w:rPr>
            </w:pPr>
            <w:r>
              <w:rPr>
                <w:rFonts w:ascii="Arial" w:hAnsi="Arial" w:eastAsia="Verdana" w:cs="Arial"/>
                <w:color w:val="auto"/>
                <w:sz w:val="22"/>
                <w:szCs w:val="22"/>
                <w:lang w:val="pt-PT" w:eastAsia="en-US" w:bidi="ar-SA"/>
              </w:rPr>
              <w:t>Gerência de Proteção Social  Especial</w:t>
            </w:r>
          </w:p>
        </w:tc>
      </w:tr>
      <w:tr w14:paraId="7B3600D5">
        <w:tblPrEx>
          <w:tblCellMar>
            <w:top w:w="0" w:type="dxa"/>
            <w:left w:w="21" w:type="dxa"/>
            <w:bottom w:w="0" w:type="dxa"/>
            <w:right w:w="108" w:type="dxa"/>
          </w:tblCellMar>
        </w:tblPrEx>
        <w:trPr>
          <w:trHeight w:val="150" w:hRule="atLeast"/>
        </w:trPr>
        <w:tc>
          <w:tcPr>
            <w:tcW w:w="4535" w:type="dxa"/>
            <w:tcBorders>
              <w:top w:val="single" w:color="000000" w:sz="4" w:space="0"/>
              <w:left w:val="single" w:color="000000" w:sz="4" w:space="0"/>
              <w:bottom w:val="single" w:color="000000" w:sz="4" w:space="0"/>
            </w:tcBorders>
            <w:noWrap w:val="0"/>
            <w:vAlign w:val="top"/>
          </w:tcPr>
          <w:p w14:paraId="7C8AD396">
            <w:pPr>
              <w:pStyle w:val="62"/>
              <w:widowControl w:val="0"/>
              <w:jc w:val="both"/>
              <w:rPr>
                <w:rFonts w:ascii="Arial" w:hAnsi="Arial" w:eastAsia="Verdana" w:cs="Arial"/>
                <w:color w:val="auto"/>
                <w:sz w:val="22"/>
                <w:szCs w:val="22"/>
                <w:lang w:val="pt-PT" w:eastAsia="en-US" w:bidi="ar-SA"/>
              </w:rPr>
            </w:pPr>
            <w:r>
              <w:rPr>
                <w:rFonts w:ascii="Arial" w:hAnsi="Arial" w:eastAsia="Verdana" w:cs="Arial"/>
                <w:color w:val="auto"/>
                <w:sz w:val="22"/>
                <w:szCs w:val="22"/>
                <w:lang w:val="pt-PT" w:eastAsia="en-US" w:bidi="ar-SA"/>
              </w:rPr>
              <w:t>Fonte de Recursos:</w:t>
            </w:r>
          </w:p>
        </w:tc>
        <w:tc>
          <w:tcPr>
            <w:tcW w:w="4535" w:type="dxa"/>
            <w:tcBorders>
              <w:top w:val="single" w:color="000000" w:sz="4" w:space="0"/>
              <w:left w:val="single" w:color="000000" w:sz="4" w:space="0"/>
              <w:bottom w:val="single" w:color="000000" w:sz="4" w:space="0"/>
              <w:right w:val="single" w:color="000000" w:sz="4" w:space="0"/>
            </w:tcBorders>
            <w:noWrap w:val="0"/>
            <w:vAlign w:val="top"/>
          </w:tcPr>
          <w:p w14:paraId="53FCE884">
            <w:pPr>
              <w:pStyle w:val="62"/>
              <w:widowControl w:val="0"/>
              <w:jc w:val="both"/>
              <w:rPr>
                <w:rFonts w:hint="default" w:ascii="Arial" w:hAnsi="Arial" w:eastAsia="Verdana" w:cs="Arial"/>
                <w:color w:val="auto"/>
                <w:sz w:val="22"/>
                <w:szCs w:val="22"/>
                <w:lang w:val="pt-BR" w:eastAsia="en-US" w:bidi="ar-SA"/>
              </w:rPr>
            </w:pPr>
            <w:r>
              <w:rPr>
                <w:rFonts w:ascii="Arial" w:hAnsi="Arial" w:eastAsia="Verdana" w:cs="Arial"/>
                <w:color w:val="auto"/>
                <w:sz w:val="22"/>
                <w:szCs w:val="22"/>
                <w:lang w:val="pt-PT" w:eastAsia="en-US" w:bidi="ar-SA"/>
              </w:rPr>
              <w:t>1500 / 1660</w:t>
            </w:r>
            <w:r>
              <w:rPr>
                <w:rFonts w:hint="default" w:ascii="Arial" w:hAnsi="Arial" w:eastAsia="Verdana" w:cs="Arial"/>
                <w:color w:val="auto"/>
                <w:sz w:val="22"/>
                <w:szCs w:val="22"/>
                <w:lang w:val="pt-BR" w:eastAsia="en-US" w:bidi="ar-SA"/>
              </w:rPr>
              <w:t xml:space="preserve"> / 1661</w:t>
            </w:r>
          </w:p>
        </w:tc>
      </w:tr>
      <w:tr w14:paraId="157042DF">
        <w:tblPrEx>
          <w:tblCellMar>
            <w:top w:w="0" w:type="dxa"/>
            <w:left w:w="21" w:type="dxa"/>
            <w:bottom w:w="0" w:type="dxa"/>
            <w:right w:w="108" w:type="dxa"/>
          </w:tblCellMar>
        </w:tblPrEx>
        <w:trPr>
          <w:trHeight w:val="188" w:hRule="atLeast"/>
        </w:trPr>
        <w:tc>
          <w:tcPr>
            <w:tcW w:w="4535" w:type="dxa"/>
            <w:tcBorders>
              <w:top w:val="single" w:color="000000" w:sz="4" w:space="0"/>
              <w:left w:val="single" w:color="000000" w:sz="4" w:space="0"/>
              <w:bottom w:val="single" w:color="000000" w:sz="4" w:space="0"/>
            </w:tcBorders>
            <w:noWrap w:val="0"/>
            <w:vAlign w:val="top"/>
          </w:tcPr>
          <w:p w14:paraId="36EC8774">
            <w:pPr>
              <w:pStyle w:val="62"/>
              <w:widowControl w:val="0"/>
              <w:jc w:val="both"/>
              <w:rPr>
                <w:rFonts w:ascii="Arial" w:hAnsi="Arial" w:eastAsia="Verdana" w:cs="Arial"/>
                <w:color w:val="auto"/>
                <w:sz w:val="22"/>
                <w:szCs w:val="22"/>
                <w:lang w:val="pt-PT" w:eastAsia="en-US" w:bidi="ar-SA"/>
              </w:rPr>
            </w:pPr>
            <w:r>
              <w:rPr>
                <w:rFonts w:ascii="Arial" w:hAnsi="Arial" w:eastAsia="Verdana" w:cs="Arial"/>
                <w:color w:val="auto"/>
                <w:sz w:val="22"/>
                <w:szCs w:val="22"/>
                <w:lang w:val="pt-PT" w:eastAsia="en-US" w:bidi="ar-SA"/>
              </w:rPr>
              <w:t>Programa de Trabalho:</w:t>
            </w:r>
          </w:p>
        </w:tc>
        <w:tc>
          <w:tcPr>
            <w:tcW w:w="4535" w:type="dxa"/>
            <w:tcBorders>
              <w:top w:val="single" w:color="000000" w:sz="4" w:space="0"/>
              <w:left w:val="single" w:color="000000" w:sz="4" w:space="0"/>
              <w:bottom w:val="single" w:color="000000" w:sz="4" w:space="0"/>
              <w:right w:val="single" w:color="000000" w:sz="4" w:space="0"/>
            </w:tcBorders>
            <w:noWrap w:val="0"/>
            <w:vAlign w:val="center"/>
          </w:tcPr>
          <w:p w14:paraId="15C37CDD">
            <w:pPr>
              <w:pStyle w:val="62"/>
              <w:widowControl w:val="0"/>
              <w:jc w:val="both"/>
              <w:rPr>
                <w:rFonts w:hint="default" w:ascii="Arial" w:hAnsi="Arial" w:eastAsia="Verdana" w:cs="Arial"/>
                <w:color w:val="auto"/>
                <w:sz w:val="22"/>
                <w:szCs w:val="22"/>
                <w:lang w:val="pt-BR" w:eastAsia="ar-SA" w:bidi="ar-SA"/>
              </w:rPr>
            </w:pPr>
            <w:r>
              <w:rPr>
                <w:rFonts w:hint="default" w:ascii="Arial" w:hAnsi="Arial" w:eastAsia="Verdana" w:cs="Arial"/>
                <w:color w:val="auto"/>
                <w:sz w:val="22"/>
                <w:szCs w:val="22"/>
                <w:lang w:val="pt-BR" w:eastAsia="en-US" w:bidi="ar-SA"/>
              </w:rPr>
              <w:t>32003.0824510342.217</w:t>
            </w:r>
          </w:p>
        </w:tc>
      </w:tr>
      <w:tr w14:paraId="2612831F">
        <w:tblPrEx>
          <w:tblCellMar>
            <w:top w:w="0" w:type="dxa"/>
            <w:left w:w="21" w:type="dxa"/>
            <w:bottom w:w="0" w:type="dxa"/>
            <w:right w:w="108" w:type="dxa"/>
          </w:tblCellMar>
        </w:tblPrEx>
        <w:trPr>
          <w:trHeight w:val="316" w:hRule="atLeast"/>
        </w:trPr>
        <w:tc>
          <w:tcPr>
            <w:tcW w:w="4535" w:type="dxa"/>
            <w:tcBorders>
              <w:top w:val="single" w:color="000000" w:sz="4" w:space="0"/>
              <w:left w:val="single" w:color="000000" w:sz="4" w:space="0"/>
              <w:bottom w:val="single" w:color="000000" w:sz="4" w:space="0"/>
            </w:tcBorders>
            <w:noWrap w:val="0"/>
            <w:vAlign w:val="top"/>
          </w:tcPr>
          <w:p w14:paraId="4830793B">
            <w:pPr>
              <w:pStyle w:val="62"/>
              <w:widowControl w:val="0"/>
              <w:jc w:val="both"/>
              <w:rPr>
                <w:rFonts w:ascii="Arial" w:hAnsi="Arial" w:eastAsia="Verdana" w:cs="Arial"/>
                <w:color w:val="auto"/>
                <w:sz w:val="22"/>
                <w:szCs w:val="22"/>
                <w:lang w:val="pt-PT" w:eastAsia="en-US" w:bidi="ar-SA"/>
              </w:rPr>
            </w:pPr>
            <w:r>
              <w:rPr>
                <w:rFonts w:ascii="Arial" w:hAnsi="Arial" w:eastAsia="Verdana" w:cs="Arial"/>
                <w:color w:val="auto"/>
                <w:sz w:val="22"/>
                <w:szCs w:val="22"/>
                <w:lang w:val="pt-PT" w:eastAsia="en-US" w:bidi="ar-SA"/>
              </w:rPr>
              <w:t>Natureza da Despesa:</w:t>
            </w:r>
          </w:p>
        </w:tc>
        <w:tc>
          <w:tcPr>
            <w:tcW w:w="4535" w:type="dxa"/>
            <w:tcBorders>
              <w:top w:val="single" w:color="000000" w:sz="4" w:space="0"/>
              <w:left w:val="single" w:color="000000" w:sz="4" w:space="0"/>
              <w:bottom w:val="single" w:color="000000" w:sz="4" w:space="0"/>
              <w:right w:val="single" w:color="000000" w:sz="4" w:space="0"/>
            </w:tcBorders>
            <w:noWrap w:val="0"/>
            <w:vAlign w:val="top"/>
          </w:tcPr>
          <w:p w14:paraId="1E90DBC4">
            <w:pPr>
              <w:pStyle w:val="62"/>
              <w:widowControl w:val="0"/>
              <w:jc w:val="both"/>
              <w:rPr>
                <w:rFonts w:ascii="Arial" w:hAnsi="Arial" w:eastAsia="Verdana" w:cs="Arial"/>
                <w:color w:val="auto"/>
                <w:sz w:val="22"/>
                <w:szCs w:val="22"/>
                <w:lang w:val="pt-PT" w:eastAsia="en-US" w:bidi="ar-SA"/>
              </w:rPr>
            </w:pPr>
            <w:r>
              <w:rPr>
                <w:rFonts w:ascii="Arial" w:hAnsi="Arial" w:eastAsia="Verdana" w:cs="Arial"/>
                <w:color w:val="auto"/>
                <w:sz w:val="22"/>
                <w:szCs w:val="22"/>
                <w:lang w:val="pt-PT" w:eastAsia="en-US" w:bidi="ar-SA"/>
              </w:rPr>
              <w:t>339030-</w:t>
            </w:r>
            <w:r>
              <w:rPr>
                <w:rFonts w:hint="default" w:ascii="Arial" w:hAnsi="Arial" w:eastAsia="Verdana" w:cs="Arial"/>
                <w:color w:val="auto"/>
                <w:sz w:val="22"/>
                <w:szCs w:val="22"/>
                <w:lang w:val="pt-BR" w:eastAsia="en-US" w:bidi="ar-SA"/>
              </w:rPr>
              <w:t>1</w:t>
            </w:r>
            <w:r>
              <w:rPr>
                <w:rFonts w:ascii="Arial" w:hAnsi="Arial" w:eastAsia="Verdana" w:cs="Arial"/>
                <w:color w:val="auto"/>
                <w:sz w:val="22"/>
                <w:szCs w:val="22"/>
                <w:lang w:val="pt-PT" w:eastAsia="en-US" w:bidi="ar-SA"/>
              </w:rPr>
              <w:t>4</w:t>
            </w:r>
          </w:p>
        </w:tc>
      </w:tr>
    </w:tbl>
    <w:p w14:paraId="0EAB0785">
      <w:pPr>
        <w:pStyle w:val="62"/>
        <w:jc w:val="both"/>
        <w:rPr>
          <w:rFonts w:ascii="Arial" w:hAnsi="Arial" w:cs="Arial"/>
          <w:sz w:val="22"/>
          <w:szCs w:val="22"/>
        </w:rPr>
      </w:pPr>
      <w:r>
        <w:rPr>
          <w:rFonts w:ascii="Arial" w:hAnsi="Arial" w:eastAsia="Verdana" w:cs="Arial"/>
          <w:color w:val="auto"/>
          <w:sz w:val="22"/>
          <w:szCs w:val="22"/>
          <w:lang w:val="pt-PT" w:eastAsia="en-US" w:bidi="ar-SA"/>
        </w:rPr>
        <w:t xml:space="preserve">                                                           </w:t>
      </w:r>
    </w:p>
    <w:p w14:paraId="56CCFC33">
      <w:pPr>
        <w:pStyle w:val="35"/>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10"/>
          <w:rFonts w:ascii="Arial" w:hAnsi="Arial" w:cs="Arial"/>
          <w:sz w:val="22"/>
          <w:szCs w:val="22"/>
          <w:lang w:val="pt-PT"/>
        </w:rPr>
        <w:t>art. 92, III</w:t>
      </w:r>
      <w:r>
        <w:rPr>
          <w:rStyle w:val="10"/>
          <w:rFonts w:ascii="Arial" w:hAnsi="Arial" w:cs="Arial"/>
          <w:sz w:val="22"/>
          <w:szCs w:val="22"/>
          <w:lang w:val="pt-PT"/>
        </w:rPr>
        <w:fldChar w:fldCharType="end"/>
      </w:r>
      <w:r>
        <w:rPr>
          <w:rFonts w:ascii="Arial" w:hAnsi="Arial" w:cs="Arial"/>
          <w:sz w:val="22"/>
          <w:szCs w:val="22"/>
          <w:lang w:val="pt-PT"/>
        </w:rPr>
        <w:t>)</w:t>
      </w:r>
    </w:p>
    <w:p w14:paraId="44C9A902">
      <w:pPr>
        <w:pStyle w:val="20"/>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10"/>
          <w:rFonts w:ascii="Arial" w:hAnsi="Arial" w:cs="Arial"/>
        </w:rPr>
        <w:t>nº 14.133, de 2021</w:t>
      </w:r>
      <w:r>
        <w:rPr>
          <w:rStyle w:val="10"/>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10"/>
          <w:rFonts w:ascii="Arial" w:hAnsi="Arial" w:cs="Arial"/>
        </w:rPr>
        <w:t>Lei nº 8.078, de 1990 – Código de Defesa do Consumidor</w:t>
      </w:r>
      <w:r>
        <w:rPr>
          <w:rStyle w:val="10"/>
          <w:rFonts w:ascii="Arial" w:hAnsi="Arial" w:cs="Arial"/>
        </w:rPr>
        <w:fldChar w:fldCharType="end"/>
      </w:r>
      <w:r>
        <w:rPr>
          <w:rFonts w:ascii="Arial" w:hAnsi="Arial" w:cs="Arial"/>
        </w:rPr>
        <w:t xml:space="preserve"> – e normas e princípios gerais dos contratos.</w:t>
      </w:r>
    </w:p>
    <w:p w14:paraId="46FE6D62">
      <w:pPr>
        <w:pStyle w:val="35"/>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14:paraId="550A81F9">
      <w:pPr>
        <w:pStyle w:val="20"/>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10"/>
          <w:rFonts w:ascii="Arial" w:hAnsi="Arial" w:cs="Arial"/>
        </w:rPr>
        <w:t>arts. 124 e seguintes da Lei nº 14.133, de 2021</w:t>
      </w:r>
      <w:r>
        <w:rPr>
          <w:rStyle w:val="10"/>
          <w:rFonts w:ascii="Arial" w:hAnsi="Arial" w:cs="Arial"/>
        </w:rPr>
        <w:fldChar w:fldCharType="end"/>
      </w:r>
      <w:r>
        <w:rPr>
          <w:rFonts w:ascii="Arial" w:hAnsi="Arial" w:cs="Arial"/>
        </w:rPr>
        <w:t>.</w:t>
      </w:r>
    </w:p>
    <w:p w14:paraId="5A473B4E">
      <w:pPr>
        <w:pStyle w:val="20"/>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14:paraId="6274CC44">
      <w:pPr>
        <w:pStyle w:val="20"/>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36E1FA43">
      <w:pPr>
        <w:pStyle w:val="20"/>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0"/>
          <w:rFonts w:ascii="Arial" w:hAnsi="Arial" w:cs="Arial"/>
        </w:rPr>
        <w:t>art. 136 da Lei nº 14.133, de 2021</w:t>
      </w:r>
      <w:r>
        <w:rPr>
          <w:rStyle w:val="10"/>
          <w:rFonts w:ascii="Arial" w:hAnsi="Arial" w:cs="Arial"/>
        </w:rPr>
        <w:fldChar w:fldCharType="end"/>
      </w:r>
      <w:r>
        <w:rPr>
          <w:rFonts w:ascii="Arial" w:hAnsi="Arial" w:cs="Arial"/>
        </w:rPr>
        <w:t xml:space="preserve">. </w:t>
      </w:r>
    </w:p>
    <w:p w14:paraId="7419D394">
      <w:pPr>
        <w:pStyle w:val="45"/>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6319FB2E">
      <w:pPr>
        <w:pStyle w:val="20"/>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0"/>
          <w:rFonts w:ascii="Arial" w:hAnsi="Arial" w:cs="Arial"/>
        </w:rPr>
        <w:t>art. 94 da Lei 14.133, de 2021</w:t>
      </w:r>
      <w:r>
        <w:rPr>
          <w:rStyle w:val="10"/>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10"/>
          <w:rFonts w:ascii="Arial" w:hAnsi="Arial" w:cs="Arial"/>
        </w:rPr>
        <w:t>art. 8º, §2º, da Lei n. 12.527, de 2011</w:t>
      </w:r>
      <w:r>
        <w:rPr>
          <w:rStyle w:val="10"/>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10"/>
          <w:rFonts w:ascii="Arial" w:hAnsi="Arial" w:cs="Arial"/>
        </w:rPr>
        <w:t>art. 7º, §3º, inciso V, do Decreto n. 7.724, de 2012</w:t>
      </w:r>
      <w:r>
        <w:rPr>
          <w:rStyle w:val="10"/>
          <w:rFonts w:ascii="Arial" w:hAnsi="Arial" w:cs="Arial"/>
        </w:rPr>
        <w:fldChar w:fldCharType="end"/>
      </w:r>
      <w:r>
        <w:rPr>
          <w:rFonts w:ascii="Arial" w:hAnsi="Arial" w:cs="Arial"/>
        </w:rPr>
        <w:t>.</w:t>
      </w:r>
    </w:p>
    <w:p w14:paraId="298C6DAD">
      <w:pPr>
        <w:pStyle w:val="45"/>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10"/>
          <w:sz w:val="22"/>
          <w:szCs w:val="22"/>
        </w:rPr>
        <w:t>art. 92, §1º</w:t>
      </w:r>
      <w:r>
        <w:rPr>
          <w:rStyle w:val="10"/>
          <w:sz w:val="22"/>
          <w:szCs w:val="22"/>
        </w:rPr>
        <w:fldChar w:fldCharType="end"/>
      </w:r>
      <w:r>
        <w:rPr>
          <w:sz w:val="22"/>
          <w:szCs w:val="22"/>
        </w:rPr>
        <w:t>)</w:t>
      </w:r>
    </w:p>
    <w:p w14:paraId="330AB467">
      <w:pPr>
        <w:pStyle w:val="20"/>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06BAB78F">
      <w:pPr>
        <w:pStyle w:val="20"/>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01D9AFB1">
      <w:pPr>
        <w:spacing w:before="120" w:after="120" w:line="276" w:lineRule="auto"/>
        <w:jc w:val="both"/>
        <w:rPr>
          <w:rFonts w:ascii="Arial" w:hAnsi="Arial" w:cs="Arial"/>
        </w:rPr>
      </w:pPr>
    </w:p>
    <w:p w14:paraId="71C18C80">
      <w:pPr>
        <w:spacing w:after="120" w:line="360" w:lineRule="auto"/>
        <w:ind w:right="-15"/>
        <w:jc w:val="right"/>
        <w:rPr>
          <w:rFonts w:ascii="Arial" w:hAnsi="Arial" w:cs="Arial"/>
        </w:rPr>
      </w:pPr>
      <w:r>
        <w:rPr>
          <w:rFonts w:ascii="Arial" w:hAnsi="Arial" w:cs="Arial"/>
        </w:rPr>
        <w:t>...........................................,  .......... de.......................................... de 2026.</w:t>
      </w:r>
    </w:p>
    <w:p w14:paraId="51B03A32">
      <w:pPr>
        <w:spacing w:after="120"/>
        <w:jc w:val="center"/>
        <w:rPr>
          <w:rFonts w:ascii="Arial" w:hAnsi="Arial" w:cs="Arial"/>
          <w:bCs/>
        </w:rPr>
      </w:pPr>
    </w:p>
    <w:p w14:paraId="4FDAAB4A">
      <w:pPr>
        <w:spacing w:after="120"/>
        <w:jc w:val="center"/>
        <w:rPr>
          <w:rFonts w:ascii="Arial" w:hAnsi="Arial" w:cs="Arial"/>
          <w:bCs/>
        </w:rPr>
      </w:pPr>
      <w:r>
        <w:rPr>
          <w:rFonts w:ascii="Arial" w:hAnsi="Arial" w:cs="Arial"/>
          <w:bCs/>
        </w:rPr>
        <w:t>_________________________</w:t>
      </w:r>
    </w:p>
    <w:p w14:paraId="0BA25EC5">
      <w:pPr>
        <w:spacing w:after="120"/>
        <w:jc w:val="center"/>
        <w:rPr>
          <w:rFonts w:ascii="Arial" w:hAnsi="Arial" w:cs="Arial"/>
          <w:bCs/>
        </w:rPr>
      </w:pPr>
      <w:r>
        <w:rPr>
          <w:rFonts w:ascii="Arial" w:hAnsi="Arial" w:cs="Arial"/>
          <w:bCs/>
        </w:rPr>
        <w:t>Responsável legal da CONTRATANTE</w:t>
      </w:r>
    </w:p>
    <w:p w14:paraId="7825FDA5">
      <w:pPr>
        <w:spacing w:after="120"/>
        <w:jc w:val="center"/>
        <w:rPr>
          <w:rFonts w:ascii="Arial" w:hAnsi="Arial" w:cs="Arial"/>
        </w:rPr>
      </w:pPr>
    </w:p>
    <w:p w14:paraId="7629FA16">
      <w:pPr>
        <w:spacing w:after="120"/>
        <w:jc w:val="center"/>
        <w:rPr>
          <w:rFonts w:ascii="Arial" w:hAnsi="Arial" w:cs="Arial"/>
        </w:rPr>
      </w:pPr>
      <w:r>
        <w:rPr>
          <w:rFonts w:ascii="Arial" w:hAnsi="Arial" w:cs="Arial"/>
        </w:rPr>
        <w:t>_________________________</w:t>
      </w:r>
    </w:p>
    <w:p w14:paraId="43A802EA">
      <w:pPr>
        <w:spacing w:after="120"/>
        <w:jc w:val="center"/>
        <w:rPr>
          <w:rFonts w:ascii="Arial" w:hAnsi="Arial" w:cs="Arial"/>
        </w:rPr>
      </w:pPr>
      <w:r>
        <w:rPr>
          <w:rFonts w:ascii="Arial" w:hAnsi="Arial" w:cs="Arial"/>
        </w:rPr>
        <w:t>Responsável legal da CONTRATADA</w:t>
      </w:r>
    </w:p>
    <w:p w14:paraId="0EAD1E0E">
      <w:pPr>
        <w:spacing w:after="120"/>
        <w:jc w:val="both"/>
        <w:rPr>
          <w:rFonts w:ascii="Arial" w:hAnsi="Arial" w:cs="Arial"/>
        </w:rPr>
      </w:pPr>
    </w:p>
    <w:p w14:paraId="55B69896">
      <w:pPr>
        <w:spacing w:after="120"/>
        <w:jc w:val="both"/>
        <w:rPr>
          <w:rFonts w:ascii="Arial" w:hAnsi="Arial" w:cs="Arial"/>
        </w:rPr>
      </w:pPr>
      <w:r>
        <w:rPr>
          <w:rFonts w:ascii="Arial" w:hAnsi="Arial" w:cs="Arial"/>
        </w:rPr>
        <w:t>TESTEMUNHAS:</w:t>
      </w:r>
    </w:p>
    <w:p w14:paraId="6FB0A520">
      <w:pPr>
        <w:spacing w:after="120"/>
        <w:jc w:val="both"/>
        <w:rPr>
          <w:rFonts w:ascii="Arial" w:hAnsi="Arial" w:cs="Arial"/>
        </w:rPr>
      </w:pPr>
      <w:r>
        <w:rPr>
          <w:rFonts w:ascii="Arial" w:hAnsi="Arial" w:cs="Arial"/>
        </w:rPr>
        <w:t>1-</w:t>
      </w:r>
    </w:p>
    <w:p w14:paraId="1C602804">
      <w:pPr>
        <w:spacing w:after="120"/>
        <w:jc w:val="both"/>
        <w:rPr>
          <w:rFonts w:ascii="Arial" w:hAnsi="Arial" w:cs="Arial"/>
        </w:rPr>
      </w:pPr>
      <w:r>
        <w:rPr>
          <w:rFonts w:ascii="Arial" w:hAnsi="Arial" w:cs="Arial"/>
        </w:rPr>
        <w:t>2-</w:t>
      </w:r>
    </w:p>
    <w:p w14:paraId="3BD9B45B">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AD7BA">
    <w:pPr>
      <w:pStyle w:val="16"/>
      <w:jc w:val="center"/>
      <w:rPr>
        <w:rFonts w:ascii="Azo Sans Md" w:hAnsi="Azo Sans Md"/>
        <w:b/>
        <w:bCs/>
        <w:color w:val="000000"/>
        <w:sz w:val="18"/>
        <w:szCs w:val="18"/>
      </w:rPr>
    </w:pPr>
  </w:p>
  <w:p w14:paraId="1F3A3AC9">
    <w:pPr>
      <w:pStyle w:val="16"/>
      <w:jc w:val="center"/>
      <w:rPr>
        <w:rFonts w:ascii="Arial" w:hAnsi="Arial" w:cs="Arial"/>
        <w:color w:val="000000"/>
        <w:sz w:val="18"/>
        <w:szCs w:val="18"/>
      </w:rPr>
    </w:pPr>
    <w:r>
      <w:rPr>
        <w:rFonts w:ascii="Arial" w:hAnsi="Arial" w:cs="Arial"/>
        <w:color w:val="000000"/>
        <w:sz w:val="18"/>
        <w:szCs w:val="18"/>
      </w:rPr>
      <w:t xml:space="preserve">Av. Alberto Braune, nº 224 – </w:t>
    </w:r>
    <w:r>
      <w:rPr>
        <w:rFonts w:hint="default" w:ascii="Arial" w:hAnsi="Arial" w:cs="Arial"/>
        <w:color w:val="000000"/>
        <w:sz w:val="18"/>
        <w:szCs w:val="18"/>
        <w:lang w:val="pt-BR"/>
      </w:rPr>
      <w:t>S</w:t>
    </w:r>
    <w:r>
      <w:rPr>
        <w:rFonts w:ascii="Arial" w:hAnsi="Arial" w:cs="Arial"/>
        <w:color w:val="000000"/>
        <w:sz w:val="18"/>
        <w:szCs w:val="18"/>
      </w:rPr>
      <w:t>obreloja – Centro – Nova Friburgo – RJ</w:t>
    </w:r>
  </w:p>
  <w:p w14:paraId="70DFBA72">
    <w:pPr>
      <w:pStyle w:val="16"/>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10"/>
        <w:rFonts w:hint="default" w:ascii="Arial" w:hAnsi="Arial" w:cs="Arial"/>
        <w:sz w:val="18"/>
        <w:szCs w:val="18"/>
        <w:lang w:val="pt-BR"/>
      </w:rPr>
      <w:t>licitacaopmnf</w:t>
    </w:r>
    <w:r>
      <w:rPr>
        <w:rStyle w:val="10"/>
        <w:rFonts w:ascii="Arial" w:hAnsi="Arial" w:cs="Arial"/>
        <w:sz w:val="18"/>
        <w:szCs w:val="18"/>
      </w:rPr>
      <w:t>@gmail.com</w:t>
    </w:r>
    <w:r>
      <w:rPr>
        <w:rStyle w:val="10"/>
        <w:rFonts w:ascii="Arial" w:hAnsi="Arial" w:cs="Arial"/>
        <w:sz w:val="18"/>
        <w:szCs w:val="18"/>
      </w:rPr>
      <w:fldChar w:fldCharType="end"/>
    </w:r>
    <w:r>
      <w:rPr>
        <w:rFonts w:ascii="Arial" w:hAnsi="Arial" w:cs="Arial"/>
        <w:color w:val="000000"/>
        <w:sz w:val="18"/>
        <w:szCs w:val="18"/>
      </w:rPr>
      <w:t xml:space="preserve"> – Telefone: (22) 2525-9100 – </w:t>
    </w:r>
  </w:p>
  <w:p w14:paraId="2027BDED">
    <w:pPr>
      <w:pStyle w:val="16"/>
      <w:jc w:val="center"/>
      <w:rPr>
        <w:rFonts w:ascii="Arial" w:hAnsi="Arial" w:cs="Arial"/>
        <w:color w:val="000000"/>
        <w:sz w:val="18"/>
        <w:szCs w:val="18"/>
      </w:rPr>
    </w:pPr>
    <w:r>
      <w:rPr>
        <w:rFonts w:ascii="Arial" w:hAnsi="Arial" w:cs="Arial"/>
        <w:color w:val="000000"/>
        <w:sz w:val="18"/>
        <w:szCs w:val="18"/>
      </w:rPr>
      <w:t>(22) 2525-9101</w:t>
    </w:r>
  </w:p>
  <w:p w14:paraId="52C884CA">
    <w:pPr>
      <w:pStyle w:val="16"/>
      <w:jc w:val="center"/>
      <w:rPr>
        <w:rFonts w:ascii="Arial" w:hAnsi="Arial" w:cs="Arial"/>
        <w:color w:val="000000"/>
        <w:sz w:val="18"/>
        <w:szCs w:val="18"/>
      </w:rPr>
    </w:pPr>
  </w:p>
  <w:p w14:paraId="451C9216">
    <w:pPr>
      <w:pStyle w:val="16"/>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D1AB0">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72D75">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A37FA">
    <w:pPr>
      <w:pStyle w:val="15"/>
      <w:ind w:hanging="426"/>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01665" cy="855345"/>
          <wp:effectExtent l="0" t="0" r="0" b="0"/>
          <wp:docPr id="1" name="Imagem 1" descr="Secretaria de Desenvolvimento Social e Direitos Human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Desenvolvimento Social e Direitos Humanos"/>
                  <pic:cNvPicPr>
                    <a:picLocks noChangeAspect="1"/>
                  </pic:cNvPicPr>
                </pic:nvPicPr>
                <pic:blipFill>
                  <a:blip r:embed="rId1"/>
                  <a:stretch>
                    <a:fillRect/>
                  </a:stretch>
                </pic:blipFill>
                <pic:spPr>
                  <a:xfrm>
                    <a:off x="0" y="0"/>
                    <a:ext cx="5701665" cy="855345"/>
                  </a:xfrm>
                  <a:prstGeom prst="rect">
                    <a:avLst/>
                  </a:prstGeom>
                </pic:spPr>
              </pic:pic>
            </a:graphicData>
          </a:graphic>
        </wp:inline>
      </w:drawing>
    </w:r>
  </w:p>
  <w:p w14:paraId="6A90E84D">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3EA511E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506D2">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422E5E">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4"/>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1276B70"/>
    <w:rsid w:val="028E0A41"/>
    <w:rsid w:val="07956EAE"/>
    <w:rsid w:val="11CC2ACE"/>
    <w:rsid w:val="13147D53"/>
    <w:rsid w:val="17F23EC5"/>
    <w:rsid w:val="19AF2994"/>
    <w:rsid w:val="1AF72D93"/>
    <w:rsid w:val="1B8E207F"/>
    <w:rsid w:val="1FD12E07"/>
    <w:rsid w:val="230A068C"/>
    <w:rsid w:val="3523736B"/>
    <w:rsid w:val="35B12CA3"/>
    <w:rsid w:val="3B0A4DAB"/>
    <w:rsid w:val="3C4D19A5"/>
    <w:rsid w:val="3C9967A2"/>
    <w:rsid w:val="3D361311"/>
    <w:rsid w:val="40702E72"/>
    <w:rsid w:val="424A0AAE"/>
    <w:rsid w:val="479A0D92"/>
    <w:rsid w:val="4BBA2BAC"/>
    <w:rsid w:val="501F24D5"/>
    <w:rsid w:val="54386C08"/>
    <w:rsid w:val="584972DB"/>
    <w:rsid w:val="587C3438"/>
    <w:rsid w:val="59C67073"/>
    <w:rsid w:val="5A810183"/>
    <w:rsid w:val="5B5C12F2"/>
    <w:rsid w:val="5C237373"/>
    <w:rsid w:val="5D707004"/>
    <w:rsid w:val="623C6820"/>
    <w:rsid w:val="652E0AAD"/>
    <w:rsid w:val="68151BDC"/>
    <w:rsid w:val="68532C20"/>
    <w:rsid w:val="69701C8D"/>
    <w:rsid w:val="6A526361"/>
    <w:rsid w:val="6FF55708"/>
    <w:rsid w:val="72B37333"/>
    <w:rsid w:val="749B1192"/>
    <w:rsid w:val="77B2358A"/>
    <w:rsid w:val="7CA33F3E"/>
    <w:rsid w:val="7D152111"/>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7"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5"/>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Strong"/>
    <w:qFormat/>
    <w:uiPriority w:val="7"/>
    <w:rPr>
      <w:b/>
      <w:bCs/>
    </w:rPr>
  </w:style>
  <w:style w:type="character" w:styleId="8">
    <w:name w:val="annotation reference"/>
    <w:basedOn w:val="5"/>
    <w:unhideWhenUsed/>
    <w:qFormat/>
    <w:uiPriority w:val="0"/>
    <w:rPr>
      <w:sz w:val="16"/>
      <w:szCs w:val="16"/>
    </w:rPr>
  </w:style>
  <w:style w:type="character" w:styleId="9">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10">
    <w:name w:val="Hyperlink"/>
    <w:unhideWhenUsed/>
    <w:qFormat/>
    <w:uiPriority w:val="99"/>
    <w:rPr>
      <w:color w:val="0000FF"/>
      <w:u w:val="single"/>
    </w:rPr>
  </w:style>
  <w:style w:type="paragraph" w:styleId="11">
    <w:name w:val="Body Text"/>
    <w:basedOn w:val="1"/>
    <w:qFormat/>
    <w:uiPriority w:val="1"/>
    <w:rPr>
      <w:sz w:val="18"/>
      <w:szCs w:val="18"/>
    </w:rPr>
  </w:style>
  <w:style w:type="paragraph" w:styleId="12">
    <w:name w:val="annotation text"/>
    <w:basedOn w:val="1"/>
    <w:link w:val="50"/>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3">
    <w:name w:val="Title"/>
    <w:basedOn w:val="1"/>
    <w:qFormat/>
    <w:uiPriority w:val="10"/>
    <w:pPr>
      <w:spacing w:before="30"/>
      <w:ind w:left="20"/>
    </w:pPr>
    <w:rPr>
      <w:rFonts w:ascii="Arial" w:hAnsi="Arial" w:eastAsia="Arial" w:cs="Arial"/>
    </w:rPr>
  </w:style>
  <w:style w:type="paragraph" w:styleId="14">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5">
    <w:name w:val="header"/>
    <w:basedOn w:val="1"/>
    <w:link w:val="22"/>
    <w:unhideWhenUsed/>
    <w:qFormat/>
    <w:uiPriority w:val="0"/>
    <w:pPr>
      <w:tabs>
        <w:tab w:val="center" w:pos="4252"/>
        <w:tab w:val="right" w:pos="8504"/>
      </w:tabs>
    </w:pPr>
  </w:style>
  <w:style w:type="paragraph" w:styleId="16">
    <w:name w:val="footer"/>
    <w:basedOn w:val="1"/>
    <w:link w:val="23"/>
    <w:unhideWhenUsed/>
    <w:qFormat/>
    <w:uiPriority w:val="99"/>
    <w:pPr>
      <w:tabs>
        <w:tab w:val="center" w:pos="4252"/>
        <w:tab w:val="right" w:pos="8504"/>
      </w:tabs>
    </w:pPr>
  </w:style>
  <w:style w:type="paragraph" w:styleId="17">
    <w:name w:val="Balloon Text"/>
    <w:basedOn w:val="1"/>
    <w:link w:val="37"/>
    <w:semiHidden/>
    <w:unhideWhenUsed/>
    <w:uiPriority w:val="99"/>
    <w:rPr>
      <w:rFonts w:ascii="Segoe UI" w:hAnsi="Segoe UI" w:cs="Segoe UI"/>
      <w:sz w:val="18"/>
      <w:szCs w:val="18"/>
    </w:rPr>
  </w:style>
  <w:style w:type="table" w:styleId="18">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
    <w:name w:val="Table Normal"/>
    <w:semiHidden/>
    <w:unhideWhenUsed/>
    <w:qFormat/>
    <w:uiPriority w:val="2"/>
    <w:tblPr>
      <w:tblCellMar>
        <w:top w:w="0" w:type="dxa"/>
        <w:left w:w="0" w:type="dxa"/>
        <w:bottom w:w="0" w:type="dxa"/>
        <w:right w:w="0" w:type="dxa"/>
      </w:tblCellMar>
    </w:tblPr>
  </w:style>
  <w:style w:type="paragraph" w:styleId="20">
    <w:name w:val="List Paragraph"/>
    <w:basedOn w:val="1"/>
    <w:link w:val="56"/>
    <w:qFormat/>
    <w:uiPriority w:val="34"/>
    <w:pPr>
      <w:spacing w:before="121"/>
      <w:ind w:left="301"/>
    </w:pPr>
  </w:style>
  <w:style w:type="paragraph" w:customStyle="1" w:styleId="21">
    <w:name w:val="Table Paragraph"/>
    <w:basedOn w:val="1"/>
    <w:qFormat/>
    <w:uiPriority w:val="1"/>
  </w:style>
  <w:style w:type="character" w:customStyle="1" w:styleId="22">
    <w:name w:val="Cabeçalho Char"/>
    <w:basedOn w:val="5"/>
    <w:link w:val="15"/>
    <w:qFormat/>
    <w:uiPriority w:val="0"/>
    <w:rPr>
      <w:rFonts w:ascii="Verdana" w:hAnsi="Verdana" w:eastAsia="Verdana" w:cs="Verdana"/>
      <w:lang w:val="pt-PT"/>
    </w:rPr>
  </w:style>
  <w:style w:type="character" w:customStyle="1" w:styleId="23">
    <w:name w:val="Rodapé Char"/>
    <w:basedOn w:val="5"/>
    <w:link w:val="16"/>
    <w:qFormat/>
    <w:uiPriority w:val="99"/>
    <w:rPr>
      <w:rFonts w:ascii="Verdana" w:hAnsi="Verdana" w:eastAsia="Verdana" w:cs="Verdana"/>
      <w:lang w:val="pt-PT"/>
    </w:rPr>
  </w:style>
  <w:style w:type="paragraph" w:styleId="24">
    <w:name w:val="No Spacing"/>
    <w:link w:val="26"/>
    <w:qFormat/>
    <w:uiPriority w:val="1"/>
    <w:rPr>
      <w:rFonts w:ascii="Calibri" w:hAnsi="Calibri" w:eastAsia="Times New Roman" w:cs="Times New Roman"/>
      <w:sz w:val="22"/>
      <w:szCs w:val="22"/>
      <w:lang w:val="pt-BR" w:eastAsia="pt-BR" w:bidi="ar-SA"/>
    </w:rPr>
  </w:style>
  <w:style w:type="character" w:customStyle="1" w:styleId="25">
    <w:name w:val="Título 8 Char"/>
    <w:basedOn w:val="5"/>
    <w:link w:val="4"/>
    <w:qFormat/>
    <w:uiPriority w:val="0"/>
    <w:rPr>
      <w:rFonts w:ascii="Calibri" w:hAnsi="Calibri" w:eastAsia="Times New Roman" w:cs="Times New Roman"/>
      <w:i/>
      <w:iCs/>
      <w:sz w:val="24"/>
      <w:szCs w:val="24"/>
    </w:rPr>
  </w:style>
  <w:style w:type="character" w:customStyle="1" w:styleId="26">
    <w:name w:val="Sem Espaçamento Char"/>
    <w:link w:val="24"/>
    <w:qFormat/>
    <w:uiPriority w:val="1"/>
    <w:rPr>
      <w:rFonts w:ascii="Calibri" w:hAnsi="Calibri" w:eastAsia="Times New Roman" w:cs="Times New Roman"/>
      <w:sz w:val="22"/>
      <w:szCs w:val="22"/>
    </w:rPr>
  </w:style>
  <w:style w:type="paragraph" w:styleId="27">
    <w:name w:val="Quote"/>
    <w:basedOn w:val="1"/>
    <w:next w:val="1"/>
    <w:link w:val="28"/>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8">
    <w:name w:val="Citação Char"/>
    <w:basedOn w:val="5"/>
    <w:link w:val="27"/>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9">
    <w:name w:val="citação 2"/>
    <w:basedOn w:val="27"/>
    <w:link w:val="30"/>
    <w:qFormat/>
    <w:uiPriority w:val="0"/>
  </w:style>
  <w:style w:type="character" w:customStyle="1" w:styleId="30">
    <w:name w:val="citação 2 Char"/>
    <w:basedOn w:val="28"/>
    <w:link w:val="29"/>
    <w:qFormat/>
    <w:uiPriority w:val="0"/>
    <w:rPr>
      <w:rFonts w:ascii="Ecofont_Spranq_eco_Sans" w:hAnsi="Ecofont_Spranq_eco_Sans" w:eastAsia="Calibri" w:cs="Tahoma"/>
      <w:color w:val="000000"/>
      <w:szCs w:val="24"/>
      <w:shd w:val="clear" w:color="auto" w:fill="FFFFCC"/>
      <w:lang w:eastAsia="en-US"/>
    </w:rPr>
  </w:style>
  <w:style w:type="paragraph" w:customStyle="1" w:styleId="31">
    <w:name w:val="Grade Colorida - Ênfase 11"/>
    <w:basedOn w:val="1"/>
    <w:next w:val="1"/>
    <w:link w:val="32"/>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2">
    <w:name w:val="Grade Colorida - Ênfase 1 Char"/>
    <w:link w:val="31"/>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3">
    <w:name w:val="Nivel_01_Titulo"/>
    <w:basedOn w:val="2"/>
    <w:next w:val="1"/>
    <w:link w:val="34"/>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4">
    <w:name w:val="Nivel_01_Titulo Char"/>
    <w:basedOn w:val="28"/>
    <w:link w:val="33"/>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5">
    <w:name w:val="Nivel_01"/>
    <w:basedOn w:val="2"/>
    <w:link w:val="36"/>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6">
    <w:name w:val="Nivel_01 Char"/>
    <w:basedOn w:val="5"/>
    <w:link w:val="35"/>
    <w:qFormat/>
    <w:uiPriority w:val="0"/>
    <w:rPr>
      <w:rFonts w:ascii="Ecofont_Spranq_eco_Sans" w:hAnsi="Ecofont_Spranq_eco_Sans" w:cs="Times New Roman" w:eastAsiaTheme="majorEastAsia"/>
      <w:b/>
      <w:bCs/>
    </w:rPr>
  </w:style>
  <w:style w:type="character" w:customStyle="1" w:styleId="37">
    <w:name w:val="Texto de balão Char"/>
    <w:basedOn w:val="5"/>
    <w:link w:val="17"/>
    <w:semiHidden/>
    <w:qFormat/>
    <w:uiPriority w:val="99"/>
    <w:rPr>
      <w:rFonts w:ascii="Segoe UI" w:hAnsi="Segoe UI" w:eastAsia="Verdana" w:cs="Segoe UI"/>
      <w:sz w:val="18"/>
      <w:szCs w:val="18"/>
      <w:lang w:val="pt-PT" w:eastAsia="en-US"/>
    </w:rPr>
  </w:style>
  <w:style w:type="paragraph" w:customStyle="1" w:styleId="38">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9">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40">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1">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2">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3">
    <w:name w:val="Unresolved Mention"/>
    <w:basedOn w:val="5"/>
    <w:semiHidden/>
    <w:unhideWhenUsed/>
    <w:qFormat/>
    <w:uiPriority w:val="99"/>
    <w:rPr>
      <w:color w:val="605E5C"/>
      <w:shd w:val="clear" w:color="auto" w:fill="E1DFDD"/>
    </w:rPr>
  </w:style>
  <w:style w:type="paragraph" w:customStyle="1" w:styleId="44">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5">
    <w:name w:val="Nivel 01"/>
    <w:basedOn w:val="2"/>
    <w:next w:val="1"/>
    <w:link w:val="58"/>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6">
    <w:name w:val="Nivel 2"/>
    <w:basedOn w:val="1"/>
    <w:link w:val="55"/>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7">
    <w:name w:val="Nivel 3"/>
    <w:basedOn w:val="1"/>
    <w:link w:val="57"/>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8">
    <w:name w:val="Nivel 4"/>
    <w:basedOn w:val="47"/>
    <w:link w:val="61"/>
    <w:qFormat/>
    <w:uiPriority w:val="0"/>
    <w:pPr>
      <w:ind w:left="567"/>
    </w:pPr>
    <w:rPr>
      <w:color w:val="auto"/>
    </w:rPr>
  </w:style>
  <w:style w:type="paragraph" w:customStyle="1" w:styleId="49">
    <w:name w:val="Nivel 5"/>
    <w:basedOn w:val="48"/>
    <w:qFormat/>
    <w:uiPriority w:val="0"/>
    <w:pPr>
      <w:ind w:left="1276"/>
    </w:pPr>
  </w:style>
  <w:style w:type="character" w:customStyle="1" w:styleId="50">
    <w:name w:val="Texto de comentário Char"/>
    <w:basedOn w:val="5"/>
    <w:link w:val="12"/>
    <w:qFormat/>
    <w:uiPriority w:val="99"/>
    <w:rPr>
      <w:rFonts w:ascii="Ecofont_Spranq_eco_Sans" w:hAnsi="Ecofont_Spranq_eco_Sans" w:cs="Tahoma" w:eastAsiaTheme="minorEastAsia"/>
    </w:rPr>
  </w:style>
  <w:style w:type="paragraph" w:customStyle="1" w:styleId="51">
    <w:name w:val="Nível 2 -Red"/>
    <w:basedOn w:val="46"/>
    <w:link w:val="52"/>
    <w:qFormat/>
    <w:uiPriority w:val="0"/>
    <w:pPr>
      <w:numPr>
        <w:ilvl w:val="1"/>
        <w:numId w:val="2"/>
      </w:numPr>
    </w:pPr>
    <w:rPr>
      <w:i/>
      <w:iCs/>
      <w:color w:val="FF0000"/>
    </w:rPr>
  </w:style>
  <w:style w:type="character" w:customStyle="1" w:styleId="52">
    <w:name w:val="Nível 2 -Red Char"/>
    <w:basedOn w:val="5"/>
    <w:link w:val="51"/>
    <w:qFormat/>
    <w:uiPriority w:val="0"/>
    <w:rPr>
      <w:rFonts w:ascii="Arial" w:hAnsi="Arial" w:cs="Arial" w:eastAsiaTheme="minorEastAsia"/>
      <w:i/>
      <w:iCs/>
      <w:color w:val="FF0000"/>
    </w:rPr>
  </w:style>
  <w:style w:type="paragraph" w:customStyle="1" w:styleId="53">
    <w:name w:val="ou"/>
    <w:basedOn w:val="20"/>
    <w:link w:val="54"/>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4">
    <w:name w:val="ou Char"/>
    <w:basedOn w:val="5"/>
    <w:link w:val="53"/>
    <w:qFormat/>
    <w:uiPriority w:val="0"/>
    <w:rPr>
      <w:rFonts w:ascii="Arial" w:hAnsi="Arial" w:cs="Arial"/>
      <w:b/>
      <w:bCs/>
      <w:i/>
      <w:iCs/>
      <w:color w:val="FF0000"/>
      <w:sz w:val="24"/>
      <w:szCs w:val="24"/>
      <w:u w:val="single"/>
    </w:rPr>
  </w:style>
  <w:style w:type="character" w:customStyle="1" w:styleId="55">
    <w:name w:val="Nivel 2 Char"/>
    <w:basedOn w:val="5"/>
    <w:link w:val="46"/>
    <w:qFormat/>
    <w:locked/>
    <w:uiPriority w:val="0"/>
    <w:rPr>
      <w:rFonts w:ascii="Arial" w:hAnsi="Arial" w:cs="Arial" w:eastAsiaTheme="minorEastAsia"/>
      <w:color w:val="000000"/>
    </w:rPr>
  </w:style>
  <w:style w:type="character" w:customStyle="1" w:styleId="56">
    <w:name w:val="Parágrafo da Lista Char"/>
    <w:basedOn w:val="5"/>
    <w:link w:val="20"/>
    <w:qFormat/>
    <w:uiPriority w:val="34"/>
    <w:rPr>
      <w:rFonts w:ascii="Verdana" w:hAnsi="Verdana" w:eastAsia="Verdana" w:cs="Verdana"/>
      <w:sz w:val="22"/>
      <w:szCs w:val="22"/>
      <w:lang w:val="pt-PT" w:eastAsia="en-US"/>
    </w:rPr>
  </w:style>
  <w:style w:type="character" w:customStyle="1" w:styleId="57">
    <w:name w:val="Nivel 3 Char"/>
    <w:basedOn w:val="5"/>
    <w:link w:val="47"/>
    <w:qFormat/>
    <w:uiPriority w:val="0"/>
    <w:rPr>
      <w:rFonts w:ascii="Arial" w:hAnsi="Arial" w:cs="Arial" w:eastAsiaTheme="minorEastAsia"/>
      <w:color w:val="000000"/>
    </w:rPr>
  </w:style>
  <w:style w:type="character" w:customStyle="1" w:styleId="58">
    <w:name w:val="Nivel 01 Char"/>
    <w:basedOn w:val="5"/>
    <w:link w:val="45"/>
    <w:qFormat/>
    <w:uiPriority w:val="0"/>
    <w:rPr>
      <w:rFonts w:ascii="Arial" w:hAnsi="Arial" w:cs="Arial" w:eastAsiaTheme="majorEastAsia"/>
      <w:b/>
      <w:bCs/>
    </w:rPr>
  </w:style>
  <w:style w:type="character" w:customStyle="1" w:styleId="59">
    <w:name w:val="Nível 3-R Char"/>
    <w:basedOn w:val="5"/>
    <w:link w:val="60"/>
    <w:qFormat/>
    <w:locked/>
    <w:uiPriority w:val="0"/>
    <w:rPr>
      <w:rFonts w:ascii="Arial" w:hAnsi="Arial" w:cs="Arial"/>
      <w:i/>
      <w:iCs/>
      <w:color w:val="FF0000"/>
    </w:rPr>
  </w:style>
  <w:style w:type="paragraph" w:customStyle="1" w:styleId="60">
    <w:name w:val="Nível 3-R"/>
    <w:basedOn w:val="47"/>
    <w:link w:val="59"/>
    <w:qFormat/>
    <w:uiPriority w:val="0"/>
    <w:pPr>
      <w:numPr>
        <w:ilvl w:val="2"/>
        <w:numId w:val="2"/>
      </w:numPr>
    </w:pPr>
    <w:rPr>
      <w:rFonts w:eastAsiaTheme="minorHAnsi"/>
      <w:i/>
      <w:iCs/>
      <w:color w:val="FF0000"/>
    </w:rPr>
  </w:style>
  <w:style w:type="character" w:customStyle="1" w:styleId="61">
    <w:name w:val="Nivel 4 Char"/>
    <w:basedOn w:val="5"/>
    <w:link w:val="48"/>
    <w:qFormat/>
    <w:locked/>
    <w:uiPriority w:val="0"/>
    <w:rPr>
      <w:rFonts w:ascii="Arial" w:hAnsi="Arial" w:cs="Arial" w:eastAsiaTheme="minorEastAsia"/>
    </w:rPr>
  </w:style>
  <w:style w:type="paragraph" w:customStyle="1" w:styleId="62">
    <w:name w:val="Normal1"/>
    <w:qFormat/>
    <w:uiPriority w:val="7"/>
    <w:pPr>
      <w:suppressAutoHyphens/>
      <w:spacing w:line="100" w:lineRule="atLeast"/>
    </w:pPr>
    <w:rPr>
      <w:rFonts w:ascii="Times New Roman" w:hAnsi="Times New Roman" w:eastAsia="NSimSun" w:cs="Lucida Sans"/>
      <w:color w:val="00000A"/>
      <w:sz w:val="24"/>
      <w:szCs w:val="24"/>
      <w:lang w:val="pt-BR" w:eastAsia="hi-IN" w:bidi="hi-IN"/>
    </w:rPr>
  </w:style>
  <w:style w:type="character" w:customStyle="1" w:styleId="63">
    <w:name w:val="Fonte parág. padrão11"/>
    <w:qFormat/>
    <w:uiPriority w:val="6"/>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14</Pages>
  <Words>4937</Words>
  <Characters>27970</Characters>
  <Lines>241</Lines>
  <Paragraphs>68</Paragraphs>
  <TotalTime>6</TotalTime>
  <ScaleCrop>false</ScaleCrop>
  <LinksUpToDate>false</LinksUpToDate>
  <CharactersWithSpaces>32795</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cintia.mayer</cp:lastModifiedBy>
  <cp:lastPrinted>2023-08-22T17:19:00Z</cp:lastPrinted>
  <dcterms:modified xsi:type="dcterms:W3CDTF">2026-04-15T17:16:58Z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1046-12.1.0.25242</vt:lpwstr>
  </property>
  <property fmtid="{D5CDD505-2E9C-101B-9397-08002B2CF9AE}" pid="6" name="ICV">
    <vt:lpwstr>D4BC946DDEA047AC83906CE0F8F86B64_12</vt:lpwstr>
  </property>
  <property fmtid="{D5CDD505-2E9C-101B-9397-08002B2CF9AE}" pid="7" name="KSOTemplateDocerSaveRecord">
    <vt:lpwstr>eyJoZGlkIjoiMWY0MzVjY2ZiZjgxMDAyMDRjNWU4ZGY3ZTA4Mjk0OWUifQ==</vt:lpwstr>
  </property>
</Properties>
</file>